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3E78" w14:textId="5FFD08F7" w:rsidR="00965016" w:rsidRPr="00D10AF7" w:rsidRDefault="00172A65" w:rsidP="00D10AF7">
      <w:pPr>
        <w:spacing w:line="276" w:lineRule="auto"/>
        <w:ind w:left="708" w:hanging="708"/>
        <w:jc w:val="both"/>
        <w:rPr>
          <w:rFonts w:cstheme="minorHAnsi"/>
          <w:b/>
          <w:bCs/>
          <w:u w:val="single"/>
        </w:rPr>
      </w:pPr>
      <w:r w:rsidRPr="00AD4C56">
        <w:rPr>
          <w:rFonts w:ascii="Candara" w:hAnsi="Candara" w:cs="Calibri"/>
          <w:b/>
          <w:bCs/>
          <w:iCs/>
          <w:smallCaps/>
          <w:noProof/>
          <w:color w:val="0070C0"/>
          <w:lang w:eastAsia="fr-FR"/>
        </w:rPr>
        <w:drawing>
          <wp:anchor distT="0" distB="0" distL="114300" distR="114300" simplePos="0" relativeHeight="251659264" behindDoc="0" locked="0" layoutInCell="1" allowOverlap="1" wp14:anchorId="3A4FCCC8" wp14:editId="094DE0D9">
            <wp:simplePos x="0" y="0"/>
            <wp:positionH relativeFrom="margin">
              <wp:align>center</wp:align>
            </wp:positionH>
            <wp:positionV relativeFrom="page">
              <wp:posOffset>166395</wp:posOffset>
            </wp:positionV>
            <wp:extent cx="1365250" cy="1327785"/>
            <wp:effectExtent l="0" t="0" r="6350" b="0"/>
            <wp:wrapSquare wrapText="bothSides"/>
            <wp:docPr id="3" name="Image 4"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5482D" w14:textId="77777777" w:rsidR="00965016" w:rsidRPr="00D10AF7" w:rsidRDefault="00965016" w:rsidP="00D10AF7">
      <w:pPr>
        <w:spacing w:line="276" w:lineRule="auto"/>
        <w:ind w:left="708" w:hanging="708"/>
        <w:jc w:val="both"/>
        <w:rPr>
          <w:rFonts w:cstheme="minorHAnsi"/>
          <w:b/>
          <w:bCs/>
          <w:u w:val="single"/>
        </w:rPr>
      </w:pPr>
    </w:p>
    <w:p w14:paraId="605EC43B" w14:textId="1629E32E" w:rsidR="00965016" w:rsidRPr="00D10AF7" w:rsidRDefault="00965016" w:rsidP="00D10AF7">
      <w:pPr>
        <w:spacing w:line="276" w:lineRule="auto"/>
        <w:ind w:left="708" w:hanging="708"/>
        <w:jc w:val="both"/>
        <w:rPr>
          <w:rFonts w:cstheme="minorHAnsi"/>
          <w:b/>
          <w:bCs/>
          <w:u w:val="single"/>
        </w:rPr>
      </w:pPr>
    </w:p>
    <w:p w14:paraId="2E9AFC21" w14:textId="3398F432" w:rsidR="00965016" w:rsidRPr="00CB2171" w:rsidRDefault="00C012E7" w:rsidP="004A1EFD">
      <w:pPr>
        <w:spacing w:after="0" w:line="276" w:lineRule="auto"/>
        <w:ind w:left="709" w:hanging="709"/>
        <w:jc w:val="center"/>
        <w:rPr>
          <w:rFonts w:cstheme="minorHAnsi"/>
          <w:b/>
          <w:bCs/>
          <w:color w:val="0070C0"/>
          <w:sz w:val="28"/>
          <w:szCs w:val="28"/>
          <w:u w:val="single"/>
        </w:rPr>
      </w:pPr>
      <w:r>
        <w:rPr>
          <w:rFonts w:cstheme="minorHAnsi"/>
          <w:b/>
          <w:bCs/>
          <w:color w:val="0070C0"/>
          <w:sz w:val="28"/>
          <w:szCs w:val="28"/>
          <w:u w:val="single"/>
        </w:rPr>
        <w:t>Compte rendu</w:t>
      </w:r>
      <w:r w:rsidR="00965016" w:rsidRPr="00CB2171">
        <w:rPr>
          <w:rFonts w:cstheme="minorHAnsi"/>
          <w:b/>
          <w:bCs/>
          <w:color w:val="0070C0"/>
          <w:sz w:val="28"/>
          <w:szCs w:val="28"/>
          <w:u w:val="single"/>
        </w:rPr>
        <w:t xml:space="preserve"> d</w:t>
      </w:r>
      <w:r w:rsidR="00CB2171" w:rsidRPr="00CB2171">
        <w:rPr>
          <w:rFonts w:cstheme="minorHAnsi"/>
          <w:b/>
          <w:bCs/>
          <w:color w:val="0070C0"/>
          <w:sz w:val="28"/>
          <w:szCs w:val="28"/>
          <w:u w:val="single"/>
        </w:rPr>
        <w:t xml:space="preserve">es travaux de </w:t>
      </w:r>
      <w:r w:rsidR="00965016" w:rsidRPr="00CB2171">
        <w:rPr>
          <w:rFonts w:cstheme="minorHAnsi"/>
          <w:b/>
          <w:bCs/>
          <w:color w:val="0070C0"/>
          <w:sz w:val="28"/>
          <w:szCs w:val="28"/>
          <w:u w:val="single"/>
        </w:rPr>
        <w:t>la</w:t>
      </w:r>
      <w:r w:rsidR="00520126" w:rsidRPr="00CB2171">
        <w:rPr>
          <w:rFonts w:cstheme="minorHAnsi"/>
          <w:b/>
          <w:bCs/>
          <w:color w:val="0070C0"/>
          <w:sz w:val="28"/>
          <w:szCs w:val="28"/>
          <w:u w:val="single"/>
        </w:rPr>
        <w:t xml:space="preserve"> </w:t>
      </w:r>
      <w:r w:rsidR="00C20A11">
        <w:rPr>
          <w:rFonts w:cstheme="minorHAnsi"/>
          <w:b/>
          <w:bCs/>
          <w:color w:val="0070C0"/>
          <w:sz w:val="28"/>
          <w:szCs w:val="28"/>
          <w:u w:val="single"/>
        </w:rPr>
        <w:t>1</w:t>
      </w:r>
      <w:r>
        <w:rPr>
          <w:rFonts w:cstheme="minorHAnsi"/>
          <w:b/>
          <w:bCs/>
          <w:color w:val="0070C0"/>
          <w:sz w:val="28"/>
          <w:szCs w:val="28"/>
          <w:u w:val="single"/>
        </w:rPr>
        <w:t>3</w:t>
      </w:r>
      <w:r w:rsidR="00C20A11" w:rsidRPr="00C20A11">
        <w:rPr>
          <w:rFonts w:cstheme="minorHAnsi"/>
          <w:b/>
          <w:bCs/>
          <w:color w:val="0070C0"/>
          <w:sz w:val="28"/>
          <w:szCs w:val="28"/>
          <w:u w:val="single"/>
          <w:vertAlign w:val="superscript"/>
        </w:rPr>
        <w:t>ème</w:t>
      </w:r>
      <w:r w:rsidR="00C20A11">
        <w:rPr>
          <w:rFonts w:cstheme="minorHAnsi"/>
          <w:b/>
          <w:bCs/>
          <w:color w:val="0070C0"/>
          <w:sz w:val="28"/>
          <w:szCs w:val="28"/>
          <w:u w:val="single"/>
        </w:rPr>
        <w:t xml:space="preserve"> </w:t>
      </w:r>
      <w:r w:rsidR="00965016" w:rsidRPr="00CB2171">
        <w:rPr>
          <w:rFonts w:cstheme="minorHAnsi"/>
          <w:b/>
          <w:bCs/>
          <w:color w:val="0070C0"/>
          <w:sz w:val="28"/>
          <w:szCs w:val="28"/>
          <w:u w:val="single"/>
        </w:rPr>
        <w:t>session</w:t>
      </w:r>
      <w:r w:rsidR="004A1EFD">
        <w:rPr>
          <w:rFonts w:cstheme="minorHAnsi"/>
          <w:b/>
          <w:bCs/>
          <w:color w:val="0070C0"/>
          <w:sz w:val="28"/>
          <w:szCs w:val="28"/>
          <w:u w:val="single"/>
        </w:rPr>
        <w:t xml:space="preserve"> </w:t>
      </w:r>
      <w:r w:rsidR="00965016" w:rsidRPr="00CB2171">
        <w:rPr>
          <w:rFonts w:cstheme="minorHAnsi"/>
          <w:b/>
          <w:bCs/>
          <w:color w:val="0070C0"/>
          <w:sz w:val="28"/>
          <w:szCs w:val="28"/>
          <w:u w:val="single"/>
        </w:rPr>
        <w:t>du C</w:t>
      </w:r>
      <w:r w:rsidR="00520126" w:rsidRPr="00CB2171">
        <w:rPr>
          <w:rFonts w:cstheme="minorHAnsi"/>
          <w:b/>
          <w:bCs/>
          <w:color w:val="0070C0"/>
          <w:sz w:val="28"/>
          <w:szCs w:val="28"/>
          <w:u w:val="single"/>
        </w:rPr>
        <w:t>onseil d’</w:t>
      </w:r>
      <w:r w:rsidR="00965016" w:rsidRPr="00CB2171">
        <w:rPr>
          <w:rFonts w:cstheme="minorHAnsi"/>
          <w:b/>
          <w:bCs/>
          <w:color w:val="0070C0"/>
          <w:sz w:val="28"/>
          <w:szCs w:val="28"/>
          <w:u w:val="single"/>
        </w:rPr>
        <w:t>O</w:t>
      </w:r>
      <w:r w:rsidR="00520126" w:rsidRPr="00CB2171">
        <w:rPr>
          <w:rFonts w:cstheme="minorHAnsi"/>
          <w:b/>
          <w:bCs/>
          <w:color w:val="0070C0"/>
          <w:sz w:val="28"/>
          <w:szCs w:val="28"/>
          <w:u w:val="single"/>
        </w:rPr>
        <w:t xml:space="preserve">rientation </w:t>
      </w:r>
      <w:r w:rsidR="00965016" w:rsidRPr="00CB2171">
        <w:rPr>
          <w:rFonts w:cstheme="minorHAnsi"/>
          <w:b/>
          <w:bCs/>
          <w:color w:val="0070C0"/>
          <w:sz w:val="28"/>
          <w:szCs w:val="28"/>
          <w:u w:val="single"/>
        </w:rPr>
        <w:t>S</w:t>
      </w:r>
      <w:r w:rsidR="00520126" w:rsidRPr="00CB2171">
        <w:rPr>
          <w:rFonts w:cstheme="minorHAnsi"/>
          <w:b/>
          <w:bCs/>
          <w:color w:val="0070C0"/>
          <w:sz w:val="28"/>
          <w:szCs w:val="28"/>
          <w:u w:val="single"/>
        </w:rPr>
        <w:t>tratégique</w:t>
      </w:r>
      <w:r w:rsidR="00021301">
        <w:rPr>
          <w:rFonts w:cstheme="minorHAnsi"/>
          <w:b/>
          <w:bCs/>
          <w:color w:val="0070C0"/>
          <w:sz w:val="28"/>
          <w:szCs w:val="28"/>
          <w:u w:val="single"/>
        </w:rPr>
        <w:t>,</w:t>
      </w:r>
      <w:r w:rsidR="00965016" w:rsidRPr="00CB2171">
        <w:rPr>
          <w:rFonts w:cstheme="minorHAnsi"/>
          <w:b/>
          <w:bCs/>
          <w:color w:val="0070C0"/>
          <w:sz w:val="28"/>
          <w:szCs w:val="28"/>
          <w:u w:val="single"/>
        </w:rPr>
        <w:t xml:space="preserve"> tenue le </w:t>
      </w:r>
      <w:r>
        <w:rPr>
          <w:rFonts w:cstheme="minorHAnsi"/>
          <w:b/>
          <w:bCs/>
          <w:color w:val="0070C0"/>
          <w:sz w:val="28"/>
          <w:szCs w:val="28"/>
          <w:u w:val="single"/>
        </w:rPr>
        <w:t>1</w:t>
      </w:r>
      <w:r w:rsidR="00D50528">
        <w:rPr>
          <w:rFonts w:cstheme="minorHAnsi"/>
          <w:b/>
          <w:bCs/>
          <w:color w:val="0070C0"/>
          <w:sz w:val="28"/>
          <w:szCs w:val="28"/>
          <w:u w:val="single"/>
        </w:rPr>
        <w:t>2</w:t>
      </w:r>
      <w:r w:rsidR="00C20A11">
        <w:rPr>
          <w:rFonts w:cstheme="minorHAnsi"/>
          <w:b/>
          <w:bCs/>
          <w:color w:val="0070C0"/>
          <w:sz w:val="28"/>
          <w:szCs w:val="28"/>
          <w:u w:val="single"/>
        </w:rPr>
        <w:t xml:space="preserve"> </w:t>
      </w:r>
      <w:r w:rsidR="00810F25">
        <w:rPr>
          <w:rFonts w:cstheme="minorHAnsi"/>
          <w:b/>
          <w:bCs/>
          <w:color w:val="0070C0"/>
          <w:sz w:val="28"/>
          <w:szCs w:val="28"/>
          <w:u w:val="single"/>
        </w:rPr>
        <w:t>décembre</w:t>
      </w:r>
      <w:r w:rsidR="00D50528">
        <w:rPr>
          <w:rFonts w:cstheme="minorHAnsi"/>
          <w:b/>
          <w:bCs/>
          <w:color w:val="0070C0"/>
          <w:sz w:val="28"/>
          <w:szCs w:val="28"/>
          <w:u w:val="single"/>
        </w:rPr>
        <w:t xml:space="preserve"> 202</w:t>
      </w:r>
      <w:r w:rsidR="00810F25">
        <w:rPr>
          <w:rFonts w:cstheme="minorHAnsi"/>
          <w:b/>
          <w:bCs/>
          <w:color w:val="0070C0"/>
          <w:sz w:val="28"/>
          <w:szCs w:val="28"/>
          <w:u w:val="single"/>
        </w:rPr>
        <w:t>2</w:t>
      </w:r>
    </w:p>
    <w:p w14:paraId="1BFB9238" w14:textId="77777777" w:rsidR="00520126" w:rsidRPr="00D10AF7" w:rsidRDefault="00520126" w:rsidP="00D10AF7">
      <w:pPr>
        <w:spacing w:line="276" w:lineRule="auto"/>
        <w:jc w:val="both"/>
        <w:rPr>
          <w:rFonts w:cstheme="minorHAnsi"/>
        </w:rPr>
      </w:pPr>
    </w:p>
    <w:p w14:paraId="52B228FD" w14:textId="40322397" w:rsidR="000465E0" w:rsidRPr="00447F3F" w:rsidRDefault="00C012E7" w:rsidP="000465E0">
      <w:pPr>
        <w:spacing w:after="120"/>
        <w:jc w:val="both"/>
        <w:rPr>
          <w:rFonts w:cstheme="minorHAnsi"/>
        </w:rPr>
      </w:pPr>
      <w:r w:rsidRPr="00447F3F">
        <w:rPr>
          <w:rFonts w:cstheme="minorHAnsi"/>
        </w:rPr>
        <w:t>Sur délégation de M. le Chef du Gouvernement, Madame Nadia Fettah Alaoui, Ministre de l’Economie et des Finances, a présidé la 13</w:t>
      </w:r>
      <w:r w:rsidRPr="00447F3F">
        <w:rPr>
          <w:rFonts w:cstheme="minorHAnsi"/>
          <w:vertAlign w:val="superscript"/>
        </w:rPr>
        <w:t>ème</w:t>
      </w:r>
      <w:r w:rsidRPr="00447F3F">
        <w:rPr>
          <w:rFonts w:cstheme="minorHAnsi"/>
        </w:rPr>
        <w:t xml:space="preserve"> session du </w:t>
      </w:r>
      <w:r w:rsidR="000465E0" w:rsidRPr="00447F3F">
        <w:rPr>
          <w:rFonts w:cstheme="minorHAnsi"/>
        </w:rPr>
        <w:t xml:space="preserve">Conseil d’orientation stratégique (COS) de l’Agence MCA-Morocco, le </w:t>
      </w:r>
      <w:r w:rsidRPr="00447F3F">
        <w:rPr>
          <w:rFonts w:cstheme="minorHAnsi"/>
        </w:rPr>
        <w:t>lundi 12</w:t>
      </w:r>
      <w:r w:rsidR="000465E0" w:rsidRPr="00447F3F">
        <w:rPr>
          <w:rFonts w:cstheme="minorHAnsi"/>
        </w:rPr>
        <w:t xml:space="preserve"> décembre 202</w:t>
      </w:r>
      <w:r w:rsidRPr="00447F3F">
        <w:rPr>
          <w:rFonts w:cstheme="minorHAnsi"/>
        </w:rPr>
        <w:t>2</w:t>
      </w:r>
      <w:r w:rsidR="000465E0" w:rsidRPr="00447F3F">
        <w:rPr>
          <w:rFonts w:cstheme="minorHAnsi"/>
        </w:rPr>
        <w:t xml:space="preserve"> à </w:t>
      </w:r>
      <w:r w:rsidRPr="00447F3F">
        <w:rPr>
          <w:rFonts w:cstheme="minorHAnsi"/>
        </w:rPr>
        <w:t>9 heures</w:t>
      </w:r>
      <w:r w:rsidR="000465E0" w:rsidRPr="00447F3F">
        <w:rPr>
          <w:rFonts w:cstheme="minorHAnsi"/>
        </w:rPr>
        <w:t xml:space="preserve">. </w:t>
      </w:r>
    </w:p>
    <w:p w14:paraId="17DB4FDF" w14:textId="77777777" w:rsidR="000465E0" w:rsidRPr="00447F3F" w:rsidRDefault="000465E0" w:rsidP="000465E0">
      <w:pPr>
        <w:shd w:val="clear" w:color="auto" w:fill="FFFFFF"/>
        <w:spacing w:line="240" w:lineRule="auto"/>
        <w:jc w:val="both"/>
        <w:rPr>
          <w:rFonts w:eastAsia="Times New Roman" w:cstheme="minorHAnsi"/>
          <w:color w:val="211F20"/>
          <w:lang w:eastAsia="fr-FR"/>
        </w:rPr>
      </w:pPr>
      <w:r w:rsidRPr="00447F3F">
        <w:rPr>
          <w:rFonts w:eastAsia="Times New Roman" w:cstheme="minorHAnsi"/>
          <w:color w:val="211F20"/>
          <w:lang w:eastAsia="fr-FR"/>
        </w:rPr>
        <w:t>L’ordre du jour de cette session a été arrêté comme suit :</w:t>
      </w:r>
    </w:p>
    <w:p w14:paraId="62E3EB6B" w14:textId="399FAE9A" w:rsidR="00C012E7" w:rsidRPr="00447F3F" w:rsidRDefault="00C012E7" w:rsidP="00C012E7">
      <w:pPr>
        <w:pStyle w:val="Paragraphedeliste"/>
        <w:numPr>
          <w:ilvl w:val="0"/>
          <w:numId w:val="11"/>
        </w:numPr>
        <w:spacing w:after="120"/>
        <w:jc w:val="both"/>
        <w:rPr>
          <w:rFonts w:eastAsia="Calibri" w:cstheme="minorHAnsi"/>
        </w:rPr>
      </w:pPr>
      <w:r w:rsidRPr="00447F3F">
        <w:rPr>
          <w:rFonts w:eastAsia="Calibri" w:cstheme="minorHAnsi"/>
        </w:rPr>
        <w:t>Approbation du procès-verbal de la 12</w:t>
      </w:r>
      <w:r w:rsidRPr="00447F3F">
        <w:rPr>
          <w:rFonts w:eastAsia="Calibri" w:cstheme="minorHAnsi"/>
          <w:vertAlign w:val="superscript"/>
        </w:rPr>
        <w:t>ème</w:t>
      </w:r>
      <w:r w:rsidRPr="00447F3F">
        <w:rPr>
          <w:rFonts w:eastAsia="Calibri" w:cstheme="minorHAnsi"/>
        </w:rPr>
        <w:t xml:space="preserve"> session du COS de l’Agence MCA-Morocco, tenue le 23 décembre 2021 ;</w:t>
      </w:r>
    </w:p>
    <w:p w14:paraId="5CCB5304" w14:textId="49D5CB13" w:rsidR="00C012E7" w:rsidRPr="00447F3F" w:rsidRDefault="00C012E7" w:rsidP="00C012E7">
      <w:pPr>
        <w:pStyle w:val="Paragraphedeliste"/>
        <w:numPr>
          <w:ilvl w:val="0"/>
          <w:numId w:val="11"/>
        </w:numPr>
        <w:spacing w:after="120"/>
        <w:jc w:val="both"/>
        <w:rPr>
          <w:rFonts w:eastAsia="Calibri" w:cstheme="minorHAnsi"/>
        </w:rPr>
      </w:pPr>
      <w:r w:rsidRPr="00447F3F">
        <w:rPr>
          <w:rFonts w:eastAsia="Calibri" w:cstheme="minorHAnsi"/>
        </w:rPr>
        <w:t xml:space="preserve">Examen de l’état d’avancement de la mise en œuvre du programme du </w:t>
      </w:r>
      <w:r w:rsidR="00A86241" w:rsidRPr="00447F3F">
        <w:rPr>
          <w:rFonts w:eastAsia="Calibri" w:cstheme="minorHAnsi"/>
        </w:rPr>
        <w:t>Compact ;</w:t>
      </w:r>
    </w:p>
    <w:p w14:paraId="7F3CB6E9" w14:textId="77777777" w:rsidR="00C012E7" w:rsidRPr="00447F3F" w:rsidRDefault="00C012E7" w:rsidP="00C012E7">
      <w:pPr>
        <w:pStyle w:val="Paragraphedeliste"/>
        <w:numPr>
          <w:ilvl w:val="0"/>
          <w:numId w:val="11"/>
        </w:numPr>
        <w:spacing w:after="120"/>
        <w:jc w:val="both"/>
        <w:rPr>
          <w:rFonts w:eastAsia="Calibri" w:cstheme="minorHAnsi"/>
        </w:rPr>
      </w:pPr>
      <w:r w:rsidRPr="00447F3F">
        <w:rPr>
          <w:rFonts w:eastAsia="Calibri" w:cstheme="minorHAnsi"/>
        </w:rPr>
        <w:t>Présentation du Rapport du Comité d’audit et des risques ;</w:t>
      </w:r>
    </w:p>
    <w:p w14:paraId="57420F84" w14:textId="77777777" w:rsidR="00C012E7" w:rsidRPr="00447F3F" w:rsidRDefault="00C012E7" w:rsidP="00C012E7">
      <w:pPr>
        <w:pStyle w:val="Paragraphedeliste"/>
        <w:numPr>
          <w:ilvl w:val="0"/>
          <w:numId w:val="11"/>
        </w:numPr>
        <w:spacing w:after="120"/>
        <w:jc w:val="both"/>
        <w:rPr>
          <w:rFonts w:eastAsia="Calibri" w:cstheme="minorHAnsi"/>
        </w:rPr>
      </w:pPr>
      <w:r w:rsidRPr="00447F3F">
        <w:rPr>
          <w:rFonts w:eastAsia="Calibri" w:cstheme="minorHAnsi"/>
        </w:rPr>
        <w:t>Présentation du rapport du Commissaire du Gouvernement ;</w:t>
      </w:r>
    </w:p>
    <w:p w14:paraId="54614473" w14:textId="25636283" w:rsidR="00C012E7" w:rsidRPr="00447F3F" w:rsidRDefault="00C012E7" w:rsidP="003C2AE5">
      <w:pPr>
        <w:pStyle w:val="Paragraphedeliste"/>
        <w:numPr>
          <w:ilvl w:val="0"/>
          <w:numId w:val="11"/>
        </w:numPr>
        <w:spacing w:after="120"/>
        <w:jc w:val="both"/>
        <w:rPr>
          <w:rFonts w:eastAsia="Calibri" w:cstheme="minorHAnsi"/>
        </w:rPr>
      </w:pPr>
      <w:r w:rsidRPr="00447F3F">
        <w:rPr>
          <w:rFonts w:eastAsia="Calibri" w:cstheme="minorHAnsi"/>
        </w:rPr>
        <w:t>Discussion ;</w:t>
      </w:r>
    </w:p>
    <w:p w14:paraId="2908FC84" w14:textId="4B14BD50" w:rsidR="00C012E7" w:rsidRPr="00447F3F" w:rsidRDefault="00C012E7" w:rsidP="00C012E7">
      <w:pPr>
        <w:pStyle w:val="Paragraphedeliste"/>
        <w:numPr>
          <w:ilvl w:val="0"/>
          <w:numId w:val="11"/>
        </w:numPr>
        <w:spacing w:after="120"/>
        <w:jc w:val="both"/>
        <w:rPr>
          <w:rFonts w:eastAsia="Calibri" w:cstheme="minorHAnsi"/>
        </w:rPr>
      </w:pPr>
      <w:r w:rsidRPr="00447F3F">
        <w:rPr>
          <w:rFonts w:eastAsia="Calibri" w:cstheme="minorHAnsi"/>
        </w:rPr>
        <w:t>Adoption des projets de résolutions.</w:t>
      </w:r>
    </w:p>
    <w:p w14:paraId="456758C4" w14:textId="095A932B" w:rsidR="00C012E7" w:rsidRPr="00447F3F" w:rsidRDefault="000465E0" w:rsidP="00C012E7">
      <w:pPr>
        <w:spacing w:after="120"/>
        <w:jc w:val="both"/>
        <w:rPr>
          <w:rFonts w:cstheme="minorHAnsi"/>
        </w:rPr>
      </w:pPr>
      <w:r w:rsidRPr="00447F3F">
        <w:rPr>
          <w:rFonts w:cstheme="minorHAnsi"/>
        </w:rPr>
        <w:t xml:space="preserve">A l’ouverture des travaux de </w:t>
      </w:r>
      <w:r w:rsidR="00A86241" w:rsidRPr="00447F3F">
        <w:rPr>
          <w:rFonts w:cstheme="minorHAnsi"/>
        </w:rPr>
        <w:t>cette</w:t>
      </w:r>
      <w:r w:rsidRPr="00447F3F">
        <w:rPr>
          <w:rFonts w:cstheme="minorHAnsi"/>
        </w:rPr>
        <w:t xml:space="preserve"> session, </w:t>
      </w:r>
      <w:r w:rsidR="00C012E7" w:rsidRPr="00447F3F">
        <w:rPr>
          <w:rFonts w:cstheme="minorHAnsi"/>
        </w:rPr>
        <w:t xml:space="preserve">Madame la Présidente </w:t>
      </w:r>
      <w:r w:rsidR="00825AAB">
        <w:rPr>
          <w:rFonts w:cstheme="minorHAnsi"/>
        </w:rPr>
        <w:t xml:space="preserve">a annoncé </w:t>
      </w:r>
      <w:r w:rsidR="00C012E7" w:rsidRPr="00447F3F">
        <w:rPr>
          <w:rFonts w:cstheme="minorHAnsi"/>
        </w:rPr>
        <w:t>que la réunion du COS est l’occasion de faire le point sur l’avancement global du programme du Compact II, à près de 3 mois de l’expiration des 5 ans et 9 mois accordés à l’exécution de ce programme aussi ambitieux que varié.</w:t>
      </w:r>
    </w:p>
    <w:p w14:paraId="1B42A56D" w14:textId="0454D750" w:rsidR="00C012E7" w:rsidRPr="00447F3F" w:rsidRDefault="00A86241" w:rsidP="00A86241">
      <w:pPr>
        <w:spacing w:before="120" w:after="120"/>
        <w:jc w:val="both"/>
        <w:rPr>
          <w:rFonts w:cstheme="minorHAnsi"/>
        </w:rPr>
      </w:pPr>
      <w:r w:rsidRPr="00447F3F">
        <w:rPr>
          <w:rFonts w:cstheme="minorHAnsi"/>
        </w:rPr>
        <w:t>Elle a souligné que l</w:t>
      </w:r>
      <w:r w:rsidR="00C012E7" w:rsidRPr="00447F3F">
        <w:rPr>
          <w:rFonts w:cstheme="minorHAnsi"/>
        </w:rPr>
        <w:t>e Compact II revêt un intérêt particulier pour notre pays pour diverses raisons.</w:t>
      </w:r>
      <w:r w:rsidRPr="00447F3F">
        <w:rPr>
          <w:rFonts w:cstheme="minorHAnsi"/>
        </w:rPr>
        <w:t xml:space="preserve"> </w:t>
      </w:r>
      <w:r w:rsidR="00C012E7" w:rsidRPr="00447F3F">
        <w:rPr>
          <w:rFonts w:cstheme="minorHAnsi"/>
        </w:rPr>
        <w:t xml:space="preserve">D’abord sur le plan symbolique, parce qu’il consacre l’importance des relations amicales, historiques et fructueuses qu’entretiennent les deux pays.  </w:t>
      </w:r>
    </w:p>
    <w:p w14:paraId="66D0FB92" w14:textId="77777777" w:rsidR="00C012E7" w:rsidRPr="00447F3F" w:rsidRDefault="00C012E7" w:rsidP="00C012E7">
      <w:pPr>
        <w:spacing w:before="120" w:after="120"/>
        <w:jc w:val="both"/>
        <w:rPr>
          <w:rFonts w:cstheme="minorHAnsi"/>
        </w:rPr>
      </w:pPr>
      <w:r w:rsidRPr="00447F3F">
        <w:rPr>
          <w:rFonts w:cstheme="minorHAnsi"/>
        </w:rPr>
        <w:t>Ensuite, eu égard à la pertinence des projets du Compact qui sont au cœur des stratégies nationales de secteurs-clés, à savoir l’éducation et la formation pour l’employabilité et l’amélioration de la productivité du foncier industriel et rural. Ces deux axes sont de véritables leviers de la dynamisation de la croissance économique, comme souligné à maintes reprises par les Hautes Orientations de Sa Majesté le Roi Mohammed VI, que Dieu l’assiste.</w:t>
      </w:r>
    </w:p>
    <w:p w14:paraId="3E9AE7CC" w14:textId="1D95BF28" w:rsidR="00C012E7" w:rsidRPr="00447F3F" w:rsidRDefault="00C012E7" w:rsidP="00A86241">
      <w:pPr>
        <w:spacing w:before="120" w:after="120"/>
        <w:jc w:val="both"/>
        <w:rPr>
          <w:rFonts w:cstheme="minorHAnsi"/>
        </w:rPr>
      </w:pPr>
      <w:r w:rsidRPr="00447F3F">
        <w:rPr>
          <w:rFonts w:cstheme="minorHAnsi"/>
        </w:rPr>
        <w:t xml:space="preserve">Et enfin parce que les projets du Compact ont la particularité de porter sur le développement et la mise en œuvre de modèles novateurs dans les différents secteurs ciblés, avec l’ambition qu’ils soient réplicables. </w:t>
      </w:r>
    </w:p>
    <w:p w14:paraId="1B7F713E" w14:textId="1F883952" w:rsidR="00C012E7" w:rsidRPr="00447F3F" w:rsidRDefault="00A86241" w:rsidP="00A86241">
      <w:pPr>
        <w:spacing w:before="120" w:after="120"/>
        <w:jc w:val="both"/>
        <w:rPr>
          <w:rFonts w:cstheme="minorHAnsi"/>
        </w:rPr>
      </w:pPr>
      <w:r w:rsidRPr="00447F3F">
        <w:rPr>
          <w:rFonts w:cstheme="minorHAnsi"/>
        </w:rPr>
        <w:t xml:space="preserve">Au niveau de la mise en œuvre, Mme la Présidente a précisé que </w:t>
      </w:r>
      <w:r w:rsidR="00C012E7" w:rsidRPr="00447F3F">
        <w:rPr>
          <w:rFonts w:cstheme="minorHAnsi"/>
        </w:rPr>
        <w:t>l’Agence a engagé 92,5% du Budget du Compact et déboursé un peu plus de 7</w:t>
      </w:r>
      <w:r w:rsidRPr="00447F3F">
        <w:rPr>
          <w:rFonts w:cstheme="minorHAnsi"/>
        </w:rPr>
        <w:t>8</w:t>
      </w:r>
      <w:r w:rsidR="00C012E7" w:rsidRPr="00447F3F">
        <w:rPr>
          <w:rFonts w:cstheme="minorHAnsi"/>
        </w:rPr>
        <w:t>% des fonds, à date d’aujourd’hui</w:t>
      </w:r>
      <w:r w:rsidRPr="00447F3F">
        <w:rPr>
          <w:rFonts w:cstheme="minorHAnsi"/>
        </w:rPr>
        <w:t xml:space="preserve"> et que, e</w:t>
      </w:r>
      <w:r w:rsidR="00C012E7" w:rsidRPr="00447F3F">
        <w:rPr>
          <w:rFonts w:cstheme="minorHAnsi"/>
        </w:rPr>
        <w:t>n termes de réalisations sur le terrain, une partie des projets est terminée et la plupart des autres projets est au stade de finalisation.</w:t>
      </w:r>
    </w:p>
    <w:p w14:paraId="370E6270" w14:textId="52DE0F18" w:rsidR="00C012E7" w:rsidRPr="00447F3F" w:rsidRDefault="00A86241" w:rsidP="00447F3F">
      <w:pPr>
        <w:spacing w:before="120" w:after="120"/>
        <w:jc w:val="both"/>
        <w:rPr>
          <w:rFonts w:cstheme="minorHAnsi"/>
        </w:rPr>
      </w:pPr>
      <w:r w:rsidRPr="00447F3F">
        <w:rPr>
          <w:rFonts w:cstheme="minorHAnsi"/>
        </w:rPr>
        <w:t xml:space="preserve">Elle a souligné aussi que bien que </w:t>
      </w:r>
      <w:r w:rsidR="00C012E7" w:rsidRPr="00447F3F">
        <w:rPr>
          <w:rFonts w:cstheme="minorHAnsi"/>
        </w:rPr>
        <w:t>les résultats enregistrés à présent sont encourageants, les quelques mois restants du Compact sont décisifs pour réussir l’achèvement des projets non encore terminés,</w:t>
      </w:r>
      <w:r w:rsidR="00825AAB">
        <w:rPr>
          <w:rFonts w:cstheme="minorHAnsi"/>
        </w:rPr>
        <w:t xml:space="preserve"> d’où la nécessité du maintien de la mobilisation de toutes les parties prenantes concernées</w:t>
      </w:r>
      <w:r w:rsidR="00C012E7" w:rsidRPr="00447F3F">
        <w:rPr>
          <w:rFonts w:cstheme="minorHAnsi"/>
        </w:rPr>
        <w:t>.</w:t>
      </w:r>
    </w:p>
    <w:p w14:paraId="776F861A" w14:textId="416AF5DD" w:rsidR="00C012E7" w:rsidRPr="00447F3F" w:rsidRDefault="00A86241" w:rsidP="00A86241">
      <w:pPr>
        <w:pStyle w:val="Corpsdetexte"/>
        <w:spacing w:before="120" w:after="120" w:line="276" w:lineRule="auto"/>
        <w:ind w:right="134"/>
        <w:rPr>
          <w:rFonts w:asciiTheme="minorHAnsi" w:hAnsiTheme="minorHAnsi" w:cstheme="minorHAnsi"/>
          <w:sz w:val="22"/>
          <w:szCs w:val="22"/>
        </w:rPr>
      </w:pPr>
      <w:r w:rsidRPr="00447F3F">
        <w:rPr>
          <w:rFonts w:asciiTheme="minorHAnsi" w:hAnsiTheme="minorHAnsi" w:cstheme="minorHAnsi"/>
          <w:sz w:val="22"/>
          <w:szCs w:val="22"/>
        </w:rPr>
        <w:t xml:space="preserve">Madame la présidente a remercié les équipes de MCA-Morocco, de MCC et des parties prenantes de leur </w:t>
      </w:r>
      <w:r w:rsidR="00926A44" w:rsidRPr="00447F3F">
        <w:rPr>
          <w:rFonts w:asciiTheme="minorHAnsi" w:hAnsiTheme="minorHAnsi" w:cstheme="minorHAnsi"/>
          <w:sz w:val="22"/>
          <w:szCs w:val="22"/>
        </w:rPr>
        <w:t>efforts et pour les résultats obtenus</w:t>
      </w:r>
      <w:r w:rsidRPr="00447F3F">
        <w:rPr>
          <w:rFonts w:asciiTheme="minorHAnsi" w:hAnsiTheme="minorHAnsi" w:cstheme="minorHAnsi"/>
          <w:sz w:val="22"/>
          <w:szCs w:val="22"/>
        </w:rPr>
        <w:t xml:space="preserve"> et a</w:t>
      </w:r>
      <w:r w:rsidR="00C012E7" w:rsidRPr="00447F3F">
        <w:rPr>
          <w:rFonts w:asciiTheme="minorHAnsi" w:hAnsiTheme="minorHAnsi" w:cstheme="minorHAnsi"/>
          <w:sz w:val="22"/>
          <w:szCs w:val="22"/>
        </w:rPr>
        <w:t xml:space="preserve"> appelé </w:t>
      </w:r>
      <w:r w:rsidRPr="00447F3F">
        <w:rPr>
          <w:rFonts w:asciiTheme="minorHAnsi" w:hAnsiTheme="minorHAnsi" w:cstheme="minorHAnsi"/>
          <w:sz w:val="22"/>
          <w:szCs w:val="22"/>
        </w:rPr>
        <w:t xml:space="preserve">toutes ces parties </w:t>
      </w:r>
      <w:r w:rsidR="00C012E7" w:rsidRPr="00447F3F">
        <w:rPr>
          <w:rFonts w:asciiTheme="minorHAnsi" w:hAnsiTheme="minorHAnsi" w:cstheme="minorHAnsi"/>
          <w:sz w:val="22"/>
          <w:szCs w:val="22"/>
        </w:rPr>
        <w:t>à maintenir, voire accélérer davantage, la mobilisation actuelle</w:t>
      </w:r>
      <w:r w:rsidR="00926A44" w:rsidRPr="00447F3F">
        <w:rPr>
          <w:rFonts w:asciiTheme="minorHAnsi" w:hAnsiTheme="minorHAnsi" w:cstheme="minorHAnsi"/>
          <w:sz w:val="22"/>
          <w:szCs w:val="22"/>
        </w:rPr>
        <w:t>,</w:t>
      </w:r>
      <w:r w:rsidR="00C012E7" w:rsidRPr="00447F3F">
        <w:rPr>
          <w:rFonts w:asciiTheme="minorHAnsi" w:hAnsiTheme="minorHAnsi" w:cstheme="minorHAnsi"/>
          <w:sz w:val="22"/>
          <w:szCs w:val="22"/>
        </w:rPr>
        <w:t xml:space="preserve"> pour être au rendez-vous et relever le défi d’achever les projets dans les temps impartis. </w:t>
      </w:r>
    </w:p>
    <w:p w14:paraId="4F359E6C" w14:textId="2BF5E64F" w:rsidR="000465E0" w:rsidRPr="00447F3F" w:rsidRDefault="00926A44" w:rsidP="000465E0">
      <w:pPr>
        <w:spacing w:after="120"/>
        <w:jc w:val="both"/>
        <w:rPr>
          <w:rFonts w:cstheme="minorHAnsi"/>
        </w:rPr>
      </w:pPr>
      <w:r w:rsidRPr="00447F3F">
        <w:rPr>
          <w:rFonts w:cstheme="minorHAnsi"/>
        </w:rPr>
        <w:lastRenderedPageBreak/>
        <w:t>Ensuit, Mme la</w:t>
      </w:r>
      <w:r w:rsidR="000465E0" w:rsidRPr="00447F3F">
        <w:rPr>
          <w:rFonts w:cstheme="minorHAnsi"/>
        </w:rPr>
        <w:t xml:space="preserve"> Président</w:t>
      </w:r>
      <w:r w:rsidRPr="00447F3F">
        <w:rPr>
          <w:rFonts w:cstheme="minorHAnsi"/>
        </w:rPr>
        <w:t>e</w:t>
      </w:r>
      <w:r w:rsidR="000465E0" w:rsidRPr="00447F3F">
        <w:rPr>
          <w:rFonts w:cstheme="minorHAnsi"/>
        </w:rPr>
        <w:t xml:space="preserve"> </w:t>
      </w:r>
      <w:r w:rsidRPr="00447F3F">
        <w:rPr>
          <w:rFonts w:cstheme="minorHAnsi"/>
        </w:rPr>
        <w:t>soumis le PV de la 12</w:t>
      </w:r>
      <w:r w:rsidRPr="00447F3F">
        <w:rPr>
          <w:rFonts w:cstheme="minorHAnsi"/>
          <w:vertAlign w:val="superscript"/>
        </w:rPr>
        <w:t>ème</w:t>
      </w:r>
      <w:r w:rsidRPr="00447F3F">
        <w:rPr>
          <w:rFonts w:cstheme="minorHAnsi"/>
        </w:rPr>
        <w:t xml:space="preserve"> session et le </w:t>
      </w:r>
      <w:r w:rsidR="000465E0" w:rsidRPr="00447F3F">
        <w:rPr>
          <w:rFonts w:cstheme="minorHAnsi"/>
        </w:rPr>
        <w:t>projet de l’ordre du jour à l’approbation d</w:t>
      </w:r>
      <w:r w:rsidR="00825AAB">
        <w:rPr>
          <w:rFonts w:cstheme="minorHAnsi"/>
        </w:rPr>
        <w:t>es membres du</w:t>
      </w:r>
      <w:r w:rsidR="000465E0" w:rsidRPr="00447F3F">
        <w:rPr>
          <w:rFonts w:cstheme="minorHAnsi"/>
        </w:rPr>
        <w:t xml:space="preserve"> COS.</w:t>
      </w:r>
    </w:p>
    <w:p w14:paraId="6FF22CC2" w14:textId="23BEB626" w:rsidR="00926A44" w:rsidRPr="00447F3F" w:rsidRDefault="000465E0" w:rsidP="00743183">
      <w:pPr>
        <w:spacing w:after="120"/>
        <w:jc w:val="both"/>
        <w:rPr>
          <w:rFonts w:cstheme="minorHAnsi"/>
          <w:color w:val="211F20"/>
        </w:rPr>
      </w:pPr>
      <w:r w:rsidRPr="00447F3F">
        <w:rPr>
          <w:rFonts w:cstheme="minorHAnsi"/>
        </w:rPr>
        <w:t xml:space="preserve">Ensuite, </w:t>
      </w:r>
      <w:r w:rsidR="00926A44" w:rsidRPr="00447F3F">
        <w:rPr>
          <w:rFonts w:cstheme="minorHAnsi"/>
        </w:rPr>
        <w:t xml:space="preserve">Mme la Ministre </w:t>
      </w:r>
      <w:r w:rsidRPr="00447F3F">
        <w:rPr>
          <w:rFonts w:cstheme="minorHAnsi"/>
        </w:rPr>
        <w:t xml:space="preserve">a donné la parole à </w:t>
      </w:r>
      <w:r w:rsidR="00743183" w:rsidRPr="00447F3F">
        <w:rPr>
          <w:rFonts w:cstheme="minorHAnsi"/>
          <w:color w:val="211F20"/>
        </w:rPr>
        <w:t>M</w:t>
      </w:r>
      <w:r w:rsidR="00743183" w:rsidRPr="00447F3F">
        <w:rPr>
          <w:rFonts w:cstheme="minorHAnsi"/>
          <w:color w:val="211F20"/>
          <w:vertAlign w:val="superscript"/>
        </w:rPr>
        <w:t>me</w:t>
      </w:r>
      <w:r w:rsidR="00743183" w:rsidRPr="00447F3F">
        <w:rPr>
          <w:rFonts w:cstheme="minorHAnsi"/>
          <w:color w:val="211F20"/>
        </w:rPr>
        <w:t xml:space="preserve"> Carrie Monahan, </w:t>
      </w:r>
      <w:r w:rsidRPr="00447F3F">
        <w:rPr>
          <w:rFonts w:cstheme="minorHAnsi"/>
          <w:color w:val="211F20"/>
        </w:rPr>
        <w:t>Directrice Résidente de Millennium Challenge Corporation (MCC) au Maroc</w:t>
      </w:r>
      <w:r w:rsidR="00743183" w:rsidRPr="00447F3F">
        <w:rPr>
          <w:rFonts w:cstheme="minorHAnsi"/>
          <w:color w:val="211F20"/>
        </w:rPr>
        <w:t xml:space="preserve">. </w:t>
      </w:r>
      <w:r w:rsidRPr="00447F3F">
        <w:rPr>
          <w:rFonts w:cstheme="minorHAnsi"/>
          <w:color w:val="211F20"/>
        </w:rPr>
        <w:t> </w:t>
      </w:r>
      <w:r w:rsidR="00926A44" w:rsidRPr="00447F3F">
        <w:rPr>
          <w:rFonts w:cstheme="minorHAnsi"/>
          <w:color w:val="211F20"/>
        </w:rPr>
        <w:t xml:space="preserve">Dans son allocution, </w:t>
      </w:r>
      <w:r w:rsidRPr="00447F3F">
        <w:rPr>
          <w:rFonts w:cstheme="minorHAnsi"/>
          <w:color w:val="211F20"/>
        </w:rPr>
        <w:t>M</w:t>
      </w:r>
      <w:r w:rsidRPr="00447F3F">
        <w:rPr>
          <w:rFonts w:cstheme="minorHAnsi"/>
          <w:color w:val="211F20"/>
          <w:vertAlign w:val="superscript"/>
        </w:rPr>
        <w:t>me</w:t>
      </w:r>
      <w:r w:rsidRPr="00447F3F">
        <w:rPr>
          <w:rFonts w:cstheme="minorHAnsi"/>
          <w:color w:val="211F20"/>
        </w:rPr>
        <w:t xml:space="preserve"> Carrie Monahan, s’est félicitée du travail remarquable accompli par les équipes de l’Agence MCA-Morocco et de MCC et les parties prenantes et de leur engagement, </w:t>
      </w:r>
      <w:r w:rsidR="00926A44" w:rsidRPr="00447F3F">
        <w:rPr>
          <w:rFonts w:cstheme="minorHAnsi"/>
          <w:color w:val="211F20"/>
        </w:rPr>
        <w:t>en ajoutant qu’il était difficile d’imaginer qu’à près de 3 mois de la fin du Compact on aurait obtenu les résultats réalisés à date d’aujourd’hui.</w:t>
      </w:r>
    </w:p>
    <w:p w14:paraId="0CE8FB69" w14:textId="5D3123D1" w:rsidR="00926A44" w:rsidRDefault="00926A44" w:rsidP="009143D0">
      <w:pPr>
        <w:spacing w:after="120"/>
        <w:jc w:val="both"/>
        <w:rPr>
          <w:rFonts w:cstheme="minorHAnsi"/>
        </w:rPr>
      </w:pPr>
      <w:r w:rsidRPr="00447F3F">
        <w:rPr>
          <w:rFonts w:cstheme="minorHAnsi"/>
        </w:rPr>
        <w:t xml:space="preserve">Mme Monahan a </w:t>
      </w:r>
      <w:r w:rsidR="00825AAB">
        <w:rPr>
          <w:rFonts w:cstheme="minorHAnsi"/>
        </w:rPr>
        <w:t>a</w:t>
      </w:r>
      <w:r w:rsidRPr="00447F3F">
        <w:rPr>
          <w:rFonts w:cstheme="minorHAnsi"/>
        </w:rPr>
        <w:t xml:space="preserve">jouté que bien qu’elle </w:t>
      </w:r>
      <w:r w:rsidR="00825AAB">
        <w:rPr>
          <w:rFonts w:cstheme="minorHAnsi"/>
        </w:rPr>
        <w:t xml:space="preserve">est </w:t>
      </w:r>
      <w:r w:rsidRPr="00447F3F">
        <w:rPr>
          <w:rFonts w:cstheme="minorHAnsi"/>
        </w:rPr>
        <w:t xml:space="preserve">confiante que les objectifs du Compact seront réalisés, il reste encore beaucoup à faire pour terminer le travail. </w:t>
      </w:r>
      <w:r w:rsidR="00AF33FC" w:rsidRPr="00447F3F">
        <w:rPr>
          <w:rFonts w:cstheme="minorHAnsi"/>
        </w:rPr>
        <w:t>A ce titre</w:t>
      </w:r>
      <w:r w:rsidRPr="00447F3F">
        <w:rPr>
          <w:rFonts w:cstheme="minorHAnsi"/>
        </w:rPr>
        <w:t>, Mme la Directrice résidente s’est arrêté</w:t>
      </w:r>
      <w:r w:rsidR="00AF33FC" w:rsidRPr="00447F3F">
        <w:rPr>
          <w:rFonts w:cstheme="minorHAnsi"/>
        </w:rPr>
        <w:t>e</w:t>
      </w:r>
      <w:r w:rsidRPr="00447F3F">
        <w:rPr>
          <w:rFonts w:cstheme="minorHAnsi"/>
        </w:rPr>
        <w:t xml:space="preserve"> sur </w:t>
      </w:r>
      <w:r w:rsidR="00AF33FC" w:rsidRPr="00447F3F">
        <w:rPr>
          <w:rFonts w:cstheme="minorHAnsi"/>
        </w:rPr>
        <w:t>certaines composantes ou projets du Compact nécessitant une attention particulière</w:t>
      </w:r>
      <w:r w:rsidRPr="00447F3F">
        <w:rPr>
          <w:rFonts w:cstheme="minorHAnsi"/>
        </w:rPr>
        <w:t>.</w:t>
      </w:r>
    </w:p>
    <w:p w14:paraId="3821F7F9" w14:textId="3C78F375" w:rsidR="00BB2D6E" w:rsidRPr="00447F3F" w:rsidRDefault="000465E0" w:rsidP="000465E0">
      <w:pPr>
        <w:pStyle w:val="NormalWeb"/>
        <w:shd w:val="clear" w:color="auto" w:fill="FFFFFF"/>
        <w:spacing w:before="120" w:beforeAutospacing="0" w:after="120" w:afterAutospacing="0"/>
        <w:jc w:val="both"/>
        <w:rPr>
          <w:rFonts w:asciiTheme="minorHAnsi" w:hAnsiTheme="minorHAnsi" w:cstheme="minorHAnsi"/>
          <w:color w:val="211F20"/>
          <w:sz w:val="22"/>
          <w:szCs w:val="22"/>
        </w:rPr>
      </w:pPr>
      <w:r w:rsidRPr="00447F3F">
        <w:rPr>
          <w:rFonts w:asciiTheme="minorHAnsi" w:hAnsiTheme="minorHAnsi" w:cstheme="minorHAnsi"/>
          <w:color w:val="211F20"/>
          <w:sz w:val="22"/>
          <w:szCs w:val="22"/>
        </w:rPr>
        <w:t>La Directrice Générale de l’Agence MCA-Morocco, M</w:t>
      </w:r>
      <w:r w:rsidRPr="00447F3F">
        <w:rPr>
          <w:rFonts w:asciiTheme="minorHAnsi" w:hAnsiTheme="minorHAnsi" w:cstheme="minorHAnsi"/>
          <w:color w:val="211F20"/>
          <w:sz w:val="22"/>
          <w:szCs w:val="22"/>
          <w:vertAlign w:val="superscript"/>
        </w:rPr>
        <w:t>me</w:t>
      </w:r>
      <w:r w:rsidRPr="00447F3F">
        <w:rPr>
          <w:rFonts w:asciiTheme="minorHAnsi" w:hAnsiTheme="minorHAnsi" w:cstheme="minorHAnsi"/>
          <w:color w:val="211F20"/>
          <w:sz w:val="22"/>
          <w:szCs w:val="22"/>
        </w:rPr>
        <w:t xml:space="preserve"> Malika Laasri, a présenté, par la suite, aux membres du Conseil, un exposé détaillé sur l’état d’avancement de l’exécution du "Compact II" et les perspectives de </w:t>
      </w:r>
      <w:r w:rsidR="00BB2D6E" w:rsidRPr="00447F3F">
        <w:rPr>
          <w:rFonts w:asciiTheme="minorHAnsi" w:hAnsiTheme="minorHAnsi" w:cstheme="minorHAnsi"/>
          <w:color w:val="211F20"/>
          <w:sz w:val="22"/>
          <w:szCs w:val="22"/>
        </w:rPr>
        <w:t>l</w:t>
      </w:r>
      <w:r w:rsidRPr="00447F3F">
        <w:rPr>
          <w:rFonts w:asciiTheme="minorHAnsi" w:hAnsiTheme="minorHAnsi" w:cstheme="minorHAnsi"/>
          <w:color w:val="211F20"/>
          <w:sz w:val="22"/>
          <w:szCs w:val="22"/>
        </w:rPr>
        <w:t>a mise en œuvre</w:t>
      </w:r>
      <w:r w:rsidR="00BB2D6E" w:rsidRPr="00447F3F">
        <w:rPr>
          <w:rFonts w:asciiTheme="minorHAnsi" w:hAnsiTheme="minorHAnsi" w:cstheme="minorHAnsi"/>
          <w:color w:val="211F20"/>
          <w:sz w:val="22"/>
          <w:szCs w:val="22"/>
        </w:rPr>
        <w:t xml:space="preserve"> des activités restantes. Ella aussi présenté </w:t>
      </w:r>
      <w:r w:rsidRPr="00447F3F">
        <w:rPr>
          <w:rFonts w:asciiTheme="minorHAnsi" w:hAnsiTheme="minorHAnsi" w:cstheme="minorHAnsi"/>
          <w:color w:val="211F20"/>
          <w:sz w:val="22"/>
          <w:szCs w:val="22"/>
        </w:rPr>
        <w:t>les réalisations financières de l'Agence</w:t>
      </w:r>
      <w:r w:rsidR="00BB2D6E" w:rsidRPr="00447F3F">
        <w:rPr>
          <w:rFonts w:asciiTheme="minorHAnsi" w:hAnsiTheme="minorHAnsi" w:cstheme="minorHAnsi"/>
          <w:color w:val="211F20"/>
          <w:sz w:val="22"/>
          <w:szCs w:val="22"/>
        </w:rPr>
        <w:t xml:space="preserve"> et </w:t>
      </w:r>
      <w:r w:rsidR="00172A65" w:rsidRPr="00447F3F">
        <w:rPr>
          <w:rFonts w:asciiTheme="minorHAnsi" w:hAnsiTheme="minorHAnsi" w:cstheme="minorHAnsi"/>
          <w:color w:val="211F20"/>
          <w:sz w:val="22"/>
          <w:szCs w:val="22"/>
        </w:rPr>
        <w:t>les projections</w:t>
      </w:r>
      <w:r w:rsidR="00BB2D6E" w:rsidRPr="00447F3F">
        <w:rPr>
          <w:rFonts w:asciiTheme="minorHAnsi" w:hAnsiTheme="minorHAnsi" w:cstheme="minorHAnsi"/>
          <w:color w:val="211F20"/>
          <w:sz w:val="22"/>
          <w:szCs w:val="22"/>
        </w:rPr>
        <w:t xml:space="preserve"> à la fin du Compact</w:t>
      </w:r>
      <w:r w:rsidR="00172A65" w:rsidRPr="00447F3F">
        <w:rPr>
          <w:rFonts w:asciiTheme="minorHAnsi" w:hAnsiTheme="minorHAnsi" w:cstheme="minorHAnsi"/>
          <w:color w:val="211F20"/>
          <w:sz w:val="22"/>
          <w:szCs w:val="22"/>
        </w:rPr>
        <w:t>, qui se présente comme suit :</w:t>
      </w:r>
    </w:p>
    <w:p w14:paraId="6E39EB79" w14:textId="0BFEDBC8" w:rsidR="000465E0" w:rsidRPr="00447F3F" w:rsidRDefault="00172A65" w:rsidP="000465E0">
      <w:pPr>
        <w:pStyle w:val="NormalWeb"/>
        <w:shd w:val="clear" w:color="auto" w:fill="FFFFFF"/>
        <w:spacing w:before="120" w:beforeAutospacing="0" w:after="120" w:afterAutospacing="0"/>
        <w:jc w:val="both"/>
        <w:rPr>
          <w:rFonts w:asciiTheme="minorHAnsi" w:hAnsiTheme="minorHAnsi" w:cstheme="minorHAnsi"/>
          <w:color w:val="211F20"/>
          <w:sz w:val="22"/>
          <w:szCs w:val="22"/>
        </w:rPr>
      </w:pPr>
      <w:r w:rsidRPr="00447F3F">
        <w:rPr>
          <w:rFonts w:asciiTheme="minorHAnsi" w:hAnsiTheme="minorHAnsi" w:cstheme="minorHAnsi"/>
          <w:color w:val="211F20"/>
          <w:sz w:val="22"/>
          <w:szCs w:val="22"/>
        </w:rPr>
        <w:t xml:space="preserve"> </w:t>
      </w:r>
    </w:p>
    <w:tbl>
      <w:tblPr>
        <w:tblW w:w="8790" w:type="dxa"/>
        <w:jc w:val="center"/>
        <w:tblCellMar>
          <w:left w:w="0" w:type="dxa"/>
          <w:right w:w="0" w:type="dxa"/>
        </w:tblCellMar>
        <w:tblLook w:val="0600" w:firstRow="0" w:lastRow="0" w:firstColumn="0" w:lastColumn="0" w:noHBand="1" w:noVBand="1"/>
      </w:tblPr>
      <w:tblGrid>
        <w:gridCol w:w="993"/>
        <w:gridCol w:w="2110"/>
        <w:gridCol w:w="1009"/>
        <w:gridCol w:w="1276"/>
        <w:gridCol w:w="850"/>
        <w:gridCol w:w="1701"/>
        <w:gridCol w:w="851"/>
      </w:tblGrid>
      <w:tr w:rsidR="00BA43AF" w:rsidRPr="009143D0" w14:paraId="30D77509" w14:textId="77777777" w:rsidTr="009143D0">
        <w:trPr>
          <w:trHeight w:val="571"/>
          <w:jc w:val="center"/>
        </w:trPr>
        <w:tc>
          <w:tcPr>
            <w:tcW w:w="3103"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1DAF461F"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Projet</w:t>
            </w:r>
          </w:p>
        </w:tc>
        <w:tc>
          <w:tcPr>
            <w:tcW w:w="10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6821D067"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Budget</w:t>
            </w:r>
          </w:p>
        </w:tc>
        <w:tc>
          <w:tcPr>
            <w:tcW w:w="127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7444E1A5"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Engagements</w:t>
            </w:r>
          </w:p>
          <w:p w14:paraId="11917C2B"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(M$)</w:t>
            </w:r>
          </w:p>
        </w:tc>
        <w:tc>
          <w:tcPr>
            <w:tcW w:w="85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15552F9A"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000FE058"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Déboursements (M$)</w:t>
            </w:r>
          </w:p>
        </w:tc>
        <w:tc>
          <w:tcPr>
            <w:tcW w:w="85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9" w:type="dxa"/>
              <w:left w:w="9" w:type="dxa"/>
              <w:bottom w:w="0" w:type="dxa"/>
              <w:right w:w="9" w:type="dxa"/>
            </w:tcMar>
            <w:vAlign w:val="center"/>
            <w:hideMark/>
          </w:tcPr>
          <w:p w14:paraId="7C1E48B0" w14:textId="77777777" w:rsidR="00BA43AF" w:rsidRPr="009143D0" w:rsidRDefault="00BA43AF" w:rsidP="00BA43AF">
            <w:pPr>
              <w:spacing w:after="0" w:line="240" w:lineRule="auto"/>
              <w:jc w:val="center"/>
              <w:textAlignment w:val="center"/>
              <w:rPr>
                <w:rFonts w:ascii="Calibri" w:eastAsia="Times New Roman" w:hAnsi="Calibri" w:cs="Calibri"/>
                <w:lang w:val="fr-MA" w:eastAsia="fr-MA"/>
              </w:rPr>
            </w:pPr>
            <w:r w:rsidRPr="009143D0">
              <w:rPr>
                <w:rFonts w:ascii="Calibri" w:eastAsia="Open Sans" w:hAnsi="Calibri" w:cs="Calibri"/>
                <w:kern w:val="24"/>
                <w:lang w:eastAsia="fr-MA"/>
              </w:rPr>
              <w:t>%</w:t>
            </w:r>
          </w:p>
        </w:tc>
      </w:tr>
      <w:tr w:rsidR="00BA43AF" w:rsidRPr="009143D0" w14:paraId="4DFB905C" w14:textId="77777777" w:rsidTr="009143D0">
        <w:trPr>
          <w:trHeight w:val="389"/>
          <w:jc w:val="center"/>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textDirection w:val="btLr"/>
            <w:vAlign w:val="center"/>
            <w:hideMark/>
          </w:tcPr>
          <w:p w14:paraId="54B1AD84"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Open Sans" w:cstheme="minorHAnsi"/>
                <w:color w:val="000000"/>
                <w:kern w:val="24"/>
                <w:lang w:eastAsia="fr-MA"/>
              </w:rPr>
              <w:t>Education Formation pour l'employabilité</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F5A733A"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Education secondaire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033C7C"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114,3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3340E4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112,38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F159516"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A05433B"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99,87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F1314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87%</w:t>
            </w:r>
          </w:p>
        </w:tc>
      </w:tr>
      <w:tr w:rsidR="00BA43AF" w:rsidRPr="009143D0" w14:paraId="52E0D6E7" w14:textId="77777777" w:rsidTr="009143D0">
        <w:trPr>
          <w:trHeight w:val="394"/>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DDFC07"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D1A73E1"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Formation professionnelle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DC68B1"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87,3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4A8FBA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85,75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1CA4B9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8C1F215"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64,39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3710BDB"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74%</w:t>
            </w:r>
          </w:p>
        </w:tc>
      </w:tr>
      <w:tr w:rsidR="00BA43AF" w:rsidRPr="009143D0" w14:paraId="072EDF7C" w14:textId="77777777" w:rsidTr="009143D0">
        <w:trPr>
          <w:trHeight w:val="518"/>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A14FFC"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8637E2"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Emploi</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1AC1E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24,7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28E7F5C"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21,76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FB8B33A"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BC0AADB"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17,23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9679E41"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70%</w:t>
            </w:r>
          </w:p>
        </w:tc>
      </w:tr>
      <w:tr w:rsidR="00BA43AF" w:rsidRPr="009143D0" w14:paraId="309EFB3F" w14:textId="77777777" w:rsidTr="009143D0">
        <w:trPr>
          <w:trHeight w:val="398"/>
          <w:jc w:val="center"/>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textDirection w:val="btLr"/>
            <w:vAlign w:val="center"/>
            <w:hideMark/>
          </w:tcPr>
          <w:p w14:paraId="2C40508B"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Open Sans" w:cstheme="minorHAnsi"/>
                <w:color w:val="000000"/>
                <w:kern w:val="24"/>
                <w:lang w:eastAsia="fr-MA"/>
              </w:rPr>
              <w:t>Productivité</w:t>
            </w:r>
            <w:r w:rsidRPr="009143D0">
              <w:rPr>
                <w:rFonts w:eastAsia="Open Sans" w:cstheme="minorHAnsi"/>
                <w:color w:val="000000"/>
                <w:kern w:val="24"/>
                <w:lang w:eastAsia="fr-MA"/>
              </w:rPr>
              <w:br/>
              <w:t xml:space="preserve"> du foncier</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A5EBCB0"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Gouv. du Foncier</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797DC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2DA62C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6,62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F0D3ED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A2FCACA"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3,83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68392A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39%</w:t>
            </w:r>
          </w:p>
        </w:tc>
      </w:tr>
      <w:tr w:rsidR="00BA43AF" w:rsidRPr="009143D0" w14:paraId="385E0D47" w14:textId="77777777" w:rsidTr="009143D0">
        <w:trPr>
          <w:trHeight w:val="390"/>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19783A"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22628D5"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Foncier Rural</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F92C19"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32,7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1DA82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29,51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2C9B22C"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EC50411"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22,21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73A085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68%</w:t>
            </w:r>
          </w:p>
        </w:tc>
      </w:tr>
      <w:tr w:rsidR="00BA43AF" w:rsidRPr="009143D0" w14:paraId="5CF4AC3B" w14:textId="77777777" w:rsidTr="009143D0">
        <w:trPr>
          <w:trHeight w:val="99"/>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302E52"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26DA4E1"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 xml:space="preserve">Sites pilotes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5B2234"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74,6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A3C1641"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71,22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E2EB500"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0E27E5F"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64,95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16ACE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87%</w:t>
            </w:r>
          </w:p>
        </w:tc>
      </w:tr>
      <w:tr w:rsidR="00BA43AF" w:rsidRPr="009143D0" w14:paraId="35A108A9" w14:textId="77777777" w:rsidTr="009143D0">
        <w:trPr>
          <w:trHeight w:val="230"/>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803840"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EFAC51F"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 xml:space="preserve">FONZID </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68EFE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48,8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5C77EB9"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43,74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155864F"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90%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90E24FE"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32,38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EAE0921"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66%</w:t>
            </w:r>
          </w:p>
        </w:tc>
      </w:tr>
      <w:tr w:rsidR="00BA43AF" w:rsidRPr="009143D0" w14:paraId="34AF61CA" w14:textId="77777777" w:rsidTr="009143D0">
        <w:trPr>
          <w:trHeight w:val="348"/>
          <w:jc w:val="center"/>
        </w:trPr>
        <w:tc>
          <w:tcPr>
            <w:tcW w:w="99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D614C8" w14:textId="77777777" w:rsidR="00BA43AF" w:rsidRPr="009143D0" w:rsidRDefault="00BA43AF" w:rsidP="00BA43AF">
            <w:pPr>
              <w:spacing w:after="0" w:line="240" w:lineRule="auto"/>
              <w:rPr>
                <w:rFonts w:eastAsia="Times New Roman" w:cstheme="minorHAnsi"/>
                <w:lang w:val="fr-MA" w:eastAsia="fr-MA"/>
              </w:rPr>
            </w:pP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8E8313F" w14:textId="77777777" w:rsidR="00BA43AF" w:rsidRPr="009143D0" w:rsidRDefault="00BA43AF" w:rsidP="00BA43AF">
            <w:pPr>
              <w:spacing w:after="0" w:line="240" w:lineRule="auto"/>
              <w:ind w:left="144"/>
              <w:textAlignment w:val="bottom"/>
              <w:rPr>
                <w:rFonts w:eastAsia="Times New Roman" w:cstheme="minorHAnsi"/>
                <w:lang w:val="fr-MA" w:eastAsia="fr-MA"/>
              </w:rPr>
            </w:pPr>
            <w:r w:rsidRPr="009143D0">
              <w:rPr>
                <w:rFonts w:eastAsia="Open Sans" w:cstheme="minorHAnsi"/>
                <w:color w:val="000000"/>
                <w:kern w:val="24"/>
                <w:lang w:eastAsia="fr-MA"/>
              </w:rPr>
              <w:t>Assistance technique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B609A4"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89CA48E"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4,09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C61BC78"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881C1E"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3,16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CAB5A2D"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64%</w:t>
            </w:r>
          </w:p>
        </w:tc>
      </w:tr>
      <w:tr w:rsidR="00BA43AF" w:rsidRPr="009143D0" w14:paraId="687FDA1E" w14:textId="77777777" w:rsidTr="009143D0">
        <w:trPr>
          <w:trHeight w:val="254"/>
          <w:jc w:val="center"/>
        </w:trPr>
        <w:tc>
          <w:tcPr>
            <w:tcW w:w="31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7475C5F" w14:textId="77777777" w:rsidR="00BA43AF" w:rsidRPr="009143D0" w:rsidRDefault="00BA43AF" w:rsidP="00BA43AF">
            <w:pPr>
              <w:spacing w:after="0" w:line="240" w:lineRule="auto"/>
              <w:ind w:left="144"/>
              <w:textAlignment w:val="center"/>
              <w:rPr>
                <w:rFonts w:eastAsia="Times New Roman" w:cstheme="minorHAnsi"/>
                <w:lang w:val="fr-MA" w:eastAsia="fr-MA"/>
              </w:rPr>
            </w:pPr>
            <w:r w:rsidRPr="009143D0">
              <w:rPr>
                <w:rFonts w:eastAsia="Open Sans" w:cstheme="minorHAnsi"/>
                <w:color w:val="000000"/>
                <w:kern w:val="24"/>
                <w:lang w:eastAsia="fr-MA"/>
              </w:rPr>
              <w:t>Suivi et Evaluation</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AF881F"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405DE69"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4,45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32311F"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69%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09336F9"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3,13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B0B795"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48%</w:t>
            </w:r>
          </w:p>
        </w:tc>
      </w:tr>
      <w:tr w:rsidR="00BA43AF" w:rsidRPr="009143D0" w14:paraId="58CD6F75" w14:textId="77777777" w:rsidTr="009143D0">
        <w:trPr>
          <w:trHeight w:val="514"/>
          <w:jc w:val="center"/>
        </w:trPr>
        <w:tc>
          <w:tcPr>
            <w:tcW w:w="31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BDFAF02" w14:textId="77777777" w:rsidR="00BA43AF" w:rsidRPr="009143D0" w:rsidRDefault="00BA43AF" w:rsidP="00BA43AF">
            <w:pPr>
              <w:spacing w:after="0" w:line="240" w:lineRule="auto"/>
              <w:ind w:left="144"/>
              <w:textAlignment w:val="center"/>
              <w:rPr>
                <w:rFonts w:eastAsia="Times New Roman" w:cstheme="minorHAnsi"/>
                <w:lang w:val="fr-MA" w:eastAsia="fr-MA"/>
              </w:rPr>
            </w:pPr>
            <w:r w:rsidRPr="009143D0">
              <w:rPr>
                <w:rFonts w:eastAsia="Open Sans" w:cstheme="minorHAnsi"/>
                <w:color w:val="000000"/>
                <w:kern w:val="24"/>
                <w:lang w:eastAsia="fr-MA"/>
              </w:rPr>
              <w:t>Administration du programme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4987BE"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56,7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E93759"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48,68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7FD3B6F"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8DDCC98"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 xml:space="preserve">46,18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FFEB0B2" w14:textId="77777777" w:rsidR="00BA43AF" w:rsidRPr="009143D0" w:rsidRDefault="00BA43AF" w:rsidP="00BA43AF">
            <w:pPr>
              <w:spacing w:after="0" w:line="240" w:lineRule="auto"/>
              <w:jc w:val="center"/>
              <w:textAlignment w:val="bottom"/>
              <w:rPr>
                <w:rFonts w:eastAsia="Times New Roman" w:cstheme="minorHAnsi"/>
                <w:lang w:val="fr-MA" w:eastAsia="fr-MA"/>
              </w:rPr>
            </w:pPr>
            <w:r w:rsidRPr="009143D0">
              <w:rPr>
                <w:rFonts w:eastAsia="Times New Roman" w:cstheme="minorHAnsi"/>
                <w:color w:val="000000"/>
                <w:kern w:val="24"/>
                <w:lang w:val="fr-MA" w:eastAsia="fr-MA"/>
              </w:rPr>
              <w:t>81%</w:t>
            </w:r>
          </w:p>
        </w:tc>
      </w:tr>
      <w:tr w:rsidR="00BA43AF" w:rsidRPr="009143D0" w14:paraId="641B3637" w14:textId="77777777" w:rsidTr="009143D0">
        <w:trPr>
          <w:trHeight w:val="642"/>
          <w:jc w:val="center"/>
        </w:trPr>
        <w:tc>
          <w:tcPr>
            <w:tcW w:w="3103"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C39D0B1"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Open Sans" w:cstheme="minorHAnsi"/>
                <w:kern w:val="24"/>
                <w:lang w:eastAsia="fr-MA"/>
              </w:rPr>
              <w:t>Total</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07F370"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Times New Roman" w:cstheme="minorHAnsi"/>
                <w:kern w:val="24"/>
                <w:lang w:val="fr-MA" w:eastAsia="fr-MA"/>
              </w:rPr>
              <w:t>460,5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912E110" w14:textId="3920D722"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Times New Roman" w:cstheme="minorHAnsi"/>
                <w:kern w:val="24"/>
                <w:lang w:val="fr-MA" w:eastAsia="fr-MA"/>
              </w:rPr>
              <w:t>428,20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450E055"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Times New Roman" w:cstheme="minorHAnsi"/>
                <w:kern w:val="24"/>
                <w:lang w:val="fr-MA" w:eastAsia="fr-MA"/>
              </w:rPr>
              <w:t>93%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DBAD53A" w14:textId="3BEA1535"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Times New Roman" w:cstheme="minorHAnsi"/>
                <w:kern w:val="24"/>
                <w:lang w:val="fr-MA" w:eastAsia="fr-MA"/>
              </w:rPr>
              <w:t>357,33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392DC52" w14:textId="77777777" w:rsidR="00BA43AF" w:rsidRPr="009143D0" w:rsidRDefault="00BA43AF" w:rsidP="00BA43AF">
            <w:pPr>
              <w:spacing w:after="0" w:line="240" w:lineRule="auto"/>
              <w:jc w:val="center"/>
              <w:textAlignment w:val="center"/>
              <w:rPr>
                <w:rFonts w:eastAsia="Times New Roman" w:cstheme="minorHAnsi"/>
                <w:lang w:val="fr-MA" w:eastAsia="fr-MA"/>
              </w:rPr>
            </w:pPr>
            <w:r w:rsidRPr="009143D0">
              <w:rPr>
                <w:rFonts w:eastAsia="Times New Roman" w:cstheme="minorHAnsi"/>
                <w:kern w:val="24"/>
                <w:lang w:val="fr-MA" w:eastAsia="fr-MA"/>
              </w:rPr>
              <w:t>78%</w:t>
            </w:r>
          </w:p>
        </w:tc>
      </w:tr>
    </w:tbl>
    <w:p w14:paraId="5FAAC439" w14:textId="77777777" w:rsidR="00BB2D6E" w:rsidRPr="00447F3F" w:rsidRDefault="00BB2D6E" w:rsidP="000465E0">
      <w:pPr>
        <w:pStyle w:val="NormalWeb"/>
        <w:shd w:val="clear" w:color="auto" w:fill="FFFFFF"/>
        <w:spacing w:before="120" w:beforeAutospacing="0" w:after="120" w:afterAutospacing="0"/>
        <w:jc w:val="both"/>
        <w:rPr>
          <w:rFonts w:asciiTheme="minorHAnsi" w:hAnsiTheme="minorHAnsi" w:cstheme="minorHAnsi"/>
          <w:color w:val="211F20"/>
          <w:sz w:val="22"/>
          <w:szCs w:val="22"/>
        </w:rPr>
      </w:pPr>
    </w:p>
    <w:p w14:paraId="46AF9B5A" w14:textId="7E8AEBC8" w:rsidR="00172A65" w:rsidRPr="00447F3F" w:rsidRDefault="00172A65" w:rsidP="000465E0">
      <w:pPr>
        <w:pStyle w:val="NormalWeb"/>
        <w:shd w:val="clear" w:color="auto" w:fill="FFFFFF"/>
        <w:spacing w:before="120" w:beforeAutospacing="0" w:after="120" w:afterAutospacing="0"/>
        <w:jc w:val="both"/>
        <w:rPr>
          <w:rFonts w:asciiTheme="minorHAnsi" w:hAnsiTheme="minorHAnsi" w:cstheme="minorHAnsi"/>
          <w:color w:val="211F20"/>
          <w:sz w:val="22"/>
          <w:szCs w:val="22"/>
        </w:rPr>
      </w:pPr>
    </w:p>
    <w:p w14:paraId="256B9586" w14:textId="77777777" w:rsidR="00172A65" w:rsidRPr="00447F3F" w:rsidRDefault="00172A65" w:rsidP="00172A65">
      <w:pPr>
        <w:rPr>
          <w:rFonts w:cstheme="minorHAnsi"/>
          <w:color w:val="211F20"/>
        </w:rPr>
        <w:sectPr w:rsidR="00172A65" w:rsidRPr="00447F3F" w:rsidSect="00172A65">
          <w:footerReference w:type="default" r:id="rId9"/>
          <w:pgSz w:w="11906" w:h="16838"/>
          <w:pgMar w:top="1134" w:right="1417" w:bottom="1276" w:left="1417" w:header="142" w:footer="146" w:gutter="0"/>
          <w:cols w:space="708"/>
          <w:titlePg/>
          <w:docGrid w:linePitch="360"/>
        </w:sectPr>
      </w:pPr>
    </w:p>
    <w:tbl>
      <w:tblPr>
        <w:tblStyle w:val="TableauGrille1Clair"/>
        <w:tblW w:w="12900" w:type="dxa"/>
        <w:jc w:val="center"/>
        <w:tblLook w:val="0600" w:firstRow="0" w:lastRow="0" w:firstColumn="0" w:lastColumn="0" w:noHBand="1" w:noVBand="1"/>
      </w:tblPr>
      <w:tblGrid>
        <w:gridCol w:w="988"/>
        <w:gridCol w:w="2803"/>
        <w:gridCol w:w="939"/>
        <w:gridCol w:w="1054"/>
        <w:gridCol w:w="989"/>
        <w:gridCol w:w="1097"/>
        <w:gridCol w:w="928"/>
        <w:gridCol w:w="929"/>
        <w:gridCol w:w="986"/>
        <w:gridCol w:w="1197"/>
        <w:gridCol w:w="990"/>
      </w:tblGrid>
      <w:tr w:rsidR="00172A65" w:rsidRPr="00447F3F" w14:paraId="7F047313" w14:textId="77777777" w:rsidTr="00A84544">
        <w:trPr>
          <w:trHeight w:val="224"/>
          <w:jc w:val="center"/>
        </w:trPr>
        <w:tc>
          <w:tcPr>
            <w:tcW w:w="4730" w:type="dxa"/>
            <w:gridSpan w:val="3"/>
            <w:hideMark/>
          </w:tcPr>
          <w:p w14:paraId="4916AF9F" w14:textId="77777777" w:rsidR="00172A65" w:rsidRPr="00172A65" w:rsidRDefault="00172A65" w:rsidP="00172A65">
            <w:pPr>
              <w:spacing w:after="160" w:line="259" w:lineRule="auto"/>
              <w:rPr>
                <w:rFonts w:cstheme="minorHAnsi"/>
                <w:color w:val="211F20"/>
              </w:rPr>
            </w:pPr>
          </w:p>
        </w:tc>
        <w:tc>
          <w:tcPr>
            <w:tcW w:w="4068" w:type="dxa"/>
            <w:gridSpan w:val="4"/>
            <w:vAlign w:val="center"/>
            <w:hideMark/>
          </w:tcPr>
          <w:p w14:paraId="065C518A" w14:textId="77777777" w:rsidR="00172A65" w:rsidRPr="00A84544" w:rsidRDefault="00172A65" w:rsidP="00A84544">
            <w:pPr>
              <w:spacing w:after="160" w:line="259" w:lineRule="auto"/>
              <w:jc w:val="center"/>
              <w:rPr>
                <w:rFonts w:cstheme="minorHAnsi"/>
                <w:b/>
                <w:bCs/>
                <w:color w:val="211F20"/>
              </w:rPr>
            </w:pPr>
            <w:r w:rsidRPr="00A84544">
              <w:rPr>
                <w:rFonts w:cstheme="minorHAnsi"/>
                <w:b/>
                <w:bCs/>
                <w:color w:val="211F20"/>
              </w:rPr>
              <w:t>Mars 2023</w:t>
            </w:r>
          </w:p>
        </w:tc>
        <w:tc>
          <w:tcPr>
            <w:tcW w:w="4102" w:type="dxa"/>
            <w:gridSpan w:val="4"/>
            <w:vAlign w:val="center"/>
            <w:hideMark/>
          </w:tcPr>
          <w:p w14:paraId="1EB0C864" w14:textId="77777777" w:rsidR="00172A65" w:rsidRPr="00A84544" w:rsidRDefault="00172A65" w:rsidP="00A84544">
            <w:pPr>
              <w:spacing w:after="160" w:line="259" w:lineRule="auto"/>
              <w:jc w:val="center"/>
              <w:rPr>
                <w:rFonts w:cstheme="minorHAnsi"/>
                <w:b/>
                <w:bCs/>
                <w:color w:val="211F20"/>
              </w:rPr>
            </w:pPr>
            <w:r w:rsidRPr="00A84544">
              <w:rPr>
                <w:rFonts w:cstheme="minorHAnsi"/>
                <w:b/>
                <w:bCs/>
                <w:color w:val="211F20"/>
              </w:rPr>
              <w:t>Juillet 2023</w:t>
            </w:r>
          </w:p>
        </w:tc>
      </w:tr>
      <w:tr w:rsidR="00447F3F" w:rsidRPr="00447F3F" w14:paraId="5A8236EB" w14:textId="77777777" w:rsidTr="00172A65">
        <w:trPr>
          <w:trHeight w:val="804"/>
          <w:jc w:val="center"/>
        </w:trPr>
        <w:tc>
          <w:tcPr>
            <w:tcW w:w="3791" w:type="dxa"/>
            <w:gridSpan w:val="2"/>
            <w:hideMark/>
          </w:tcPr>
          <w:p w14:paraId="68BF9C6E" w14:textId="77777777" w:rsidR="00172A65" w:rsidRPr="00172A65" w:rsidRDefault="00172A65" w:rsidP="00172A65">
            <w:pPr>
              <w:spacing w:after="160" w:line="259" w:lineRule="auto"/>
              <w:rPr>
                <w:rFonts w:cstheme="minorHAnsi"/>
                <w:color w:val="211F20"/>
              </w:rPr>
            </w:pPr>
            <w:r w:rsidRPr="00172A65">
              <w:rPr>
                <w:rFonts w:cstheme="minorHAnsi"/>
                <w:color w:val="211F20"/>
              </w:rPr>
              <w:t>Projet</w:t>
            </w:r>
          </w:p>
        </w:tc>
        <w:tc>
          <w:tcPr>
            <w:tcW w:w="939" w:type="dxa"/>
            <w:hideMark/>
          </w:tcPr>
          <w:p w14:paraId="19E123F8" w14:textId="77777777" w:rsidR="00172A65" w:rsidRPr="00172A65" w:rsidRDefault="00172A65" w:rsidP="00172A65">
            <w:pPr>
              <w:spacing w:after="160" w:line="259" w:lineRule="auto"/>
              <w:rPr>
                <w:rFonts w:cstheme="minorHAnsi"/>
                <w:color w:val="211F20"/>
              </w:rPr>
            </w:pPr>
            <w:r w:rsidRPr="00172A65">
              <w:rPr>
                <w:rFonts w:cstheme="minorHAnsi"/>
                <w:color w:val="211F20"/>
              </w:rPr>
              <w:t>Budget (M$)</w:t>
            </w:r>
          </w:p>
        </w:tc>
        <w:tc>
          <w:tcPr>
            <w:tcW w:w="1054" w:type="dxa"/>
            <w:hideMark/>
          </w:tcPr>
          <w:p w14:paraId="6D2DAC2B" w14:textId="363D8C46" w:rsidR="00172A65" w:rsidRPr="00172A65" w:rsidRDefault="00172A65" w:rsidP="00172A65">
            <w:pPr>
              <w:spacing w:after="160" w:line="259" w:lineRule="auto"/>
              <w:rPr>
                <w:rFonts w:cstheme="minorHAnsi"/>
                <w:color w:val="211F20"/>
              </w:rPr>
            </w:pPr>
            <w:r w:rsidRPr="00172A65">
              <w:rPr>
                <w:rFonts w:cstheme="minorHAnsi"/>
                <w:color w:val="211F20"/>
              </w:rPr>
              <w:t>Engage</w:t>
            </w:r>
            <w:r w:rsidRPr="00447F3F">
              <w:rPr>
                <w:rFonts w:cstheme="minorHAnsi"/>
                <w:color w:val="211F20"/>
              </w:rPr>
              <w:t>-</w:t>
            </w:r>
            <w:r w:rsidRPr="00172A65">
              <w:rPr>
                <w:rFonts w:cstheme="minorHAnsi"/>
                <w:color w:val="211F20"/>
              </w:rPr>
              <w:t>ments</w:t>
            </w:r>
          </w:p>
        </w:tc>
        <w:tc>
          <w:tcPr>
            <w:tcW w:w="989" w:type="dxa"/>
            <w:hideMark/>
          </w:tcPr>
          <w:p w14:paraId="0C32EDFA" w14:textId="77777777" w:rsidR="00172A65" w:rsidRPr="00172A65" w:rsidRDefault="00172A65" w:rsidP="00172A65">
            <w:pPr>
              <w:spacing w:after="160" w:line="259" w:lineRule="auto"/>
              <w:rPr>
                <w:rFonts w:cstheme="minorHAnsi"/>
                <w:color w:val="211F20"/>
              </w:rPr>
            </w:pPr>
            <w:r w:rsidRPr="00172A65">
              <w:rPr>
                <w:rFonts w:cstheme="minorHAnsi"/>
                <w:color w:val="211F20"/>
              </w:rPr>
              <w:t xml:space="preserve">% </w:t>
            </w:r>
          </w:p>
        </w:tc>
        <w:tc>
          <w:tcPr>
            <w:tcW w:w="1097" w:type="dxa"/>
            <w:hideMark/>
          </w:tcPr>
          <w:p w14:paraId="18E04925" w14:textId="4EAD62F4" w:rsidR="00172A65" w:rsidRPr="00172A65" w:rsidRDefault="00172A65" w:rsidP="00172A65">
            <w:pPr>
              <w:spacing w:after="160" w:line="259" w:lineRule="auto"/>
              <w:rPr>
                <w:rFonts w:cstheme="minorHAnsi"/>
                <w:color w:val="211F20"/>
              </w:rPr>
            </w:pPr>
            <w:r w:rsidRPr="00172A65">
              <w:rPr>
                <w:rFonts w:cstheme="minorHAnsi"/>
                <w:color w:val="211F20"/>
              </w:rPr>
              <w:t>Débours</w:t>
            </w:r>
            <w:r w:rsidRPr="00447F3F">
              <w:rPr>
                <w:rFonts w:cstheme="minorHAnsi"/>
                <w:color w:val="211F20"/>
              </w:rPr>
              <w:t>-</w:t>
            </w:r>
            <w:r w:rsidRPr="00172A65">
              <w:rPr>
                <w:rFonts w:cstheme="minorHAnsi"/>
                <w:color w:val="211F20"/>
              </w:rPr>
              <w:t>ements</w:t>
            </w:r>
          </w:p>
        </w:tc>
        <w:tc>
          <w:tcPr>
            <w:tcW w:w="928" w:type="dxa"/>
            <w:hideMark/>
          </w:tcPr>
          <w:p w14:paraId="6F62C231" w14:textId="77777777" w:rsidR="00172A65" w:rsidRPr="00172A65" w:rsidRDefault="00172A65" w:rsidP="00172A65">
            <w:pPr>
              <w:spacing w:after="160" w:line="259" w:lineRule="auto"/>
              <w:rPr>
                <w:rFonts w:cstheme="minorHAnsi"/>
                <w:color w:val="211F20"/>
              </w:rPr>
            </w:pPr>
            <w:r w:rsidRPr="00172A65">
              <w:rPr>
                <w:rFonts w:cstheme="minorHAnsi"/>
                <w:color w:val="211F20"/>
              </w:rPr>
              <w:t xml:space="preserve">% </w:t>
            </w:r>
          </w:p>
        </w:tc>
        <w:tc>
          <w:tcPr>
            <w:tcW w:w="929" w:type="dxa"/>
            <w:hideMark/>
          </w:tcPr>
          <w:p w14:paraId="3AC0C305" w14:textId="11B19449" w:rsidR="00172A65" w:rsidRPr="00172A65" w:rsidRDefault="00172A65" w:rsidP="00172A65">
            <w:pPr>
              <w:spacing w:after="160" w:line="259" w:lineRule="auto"/>
              <w:rPr>
                <w:rFonts w:cstheme="minorHAnsi"/>
                <w:color w:val="211F20"/>
              </w:rPr>
            </w:pPr>
            <w:r w:rsidRPr="00172A65">
              <w:rPr>
                <w:rFonts w:cstheme="minorHAnsi"/>
                <w:color w:val="211F20"/>
              </w:rPr>
              <w:t>Engage</w:t>
            </w:r>
            <w:r w:rsidRPr="00447F3F">
              <w:rPr>
                <w:rFonts w:cstheme="minorHAnsi"/>
                <w:color w:val="211F20"/>
              </w:rPr>
              <w:t>-</w:t>
            </w:r>
            <w:r w:rsidRPr="00172A65">
              <w:rPr>
                <w:rFonts w:cstheme="minorHAnsi"/>
                <w:color w:val="211F20"/>
              </w:rPr>
              <w:t>ments</w:t>
            </w:r>
          </w:p>
        </w:tc>
        <w:tc>
          <w:tcPr>
            <w:tcW w:w="986" w:type="dxa"/>
            <w:hideMark/>
          </w:tcPr>
          <w:p w14:paraId="10065BFA" w14:textId="77777777" w:rsidR="00172A65" w:rsidRPr="00172A65" w:rsidRDefault="00172A65" w:rsidP="00172A65">
            <w:pPr>
              <w:spacing w:after="160" w:line="259" w:lineRule="auto"/>
              <w:rPr>
                <w:rFonts w:cstheme="minorHAnsi"/>
                <w:color w:val="211F20"/>
              </w:rPr>
            </w:pPr>
            <w:r w:rsidRPr="00172A65">
              <w:rPr>
                <w:rFonts w:cstheme="minorHAnsi"/>
                <w:color w:val="211F20"/>
              </w:rPr>
              <w:t xml:space="preserve">% </w:t>
            </w:r>
          </w:p>
        </w:tc>
        <w:tc>
          <w:tcPr>
            <w:tcW w:w="1197" w:type="dxa"/>
            <w:hideMark/>
          </w:tcPr>
          <w:p w14:paraId="5F035265" w14:textId="14D3087A" w:rsidR="00172A65" w:rsidRPr="00172A65" w:rsidRDefault="00172A65" w:rsidP="00172A65">
            <w:pPr>
              <w:spacing w:after="160" w:line="259" w:lineRule="auto"/>
              <w:rPr>
                <w:rFonts w:cstheme="minorHAnsi"/>
                <w:color w:val="211F20"/>
              </w:rPr>
            </w:pPr>
            <w:r w:rsidRPr="00172A65">
              <w:rPr>
                <w:rFonts w:cstheme="minorHAnsi"/>
                <w:color w:val="211F20"/>
              </w:rPr>
              <w:t>Débourse</w:t>
            </w:r>
            <w:r w:rsidRPr="00447F3F">
              <w:rPr>
                <w:rFonts w:cstheme="minorHAnsi"/>
                <w:color w:val="211F20"/>
              </w:rPr>
              <w:t>-</w:t>
            </w:r>
            <w:r w:rsidRPr="00172A65">
              <w:rPr>
                <w:rFonts w:cstheme="minorHAnsi"/>
                <w:color w:val="211F20"/>
              </w:rPr>
              <w:t>ments</w:t>
            </w:r>
          </w:p>
        </w:tc>
        <w:tc>
          <w:tcPr>
            <w:tcW w:w="990" w:type="dxa"/>
            <w:hideMark/>
          </w:tcPr>
          <w:p w14:paraId="1D7CDEF6" w14:textId="77777777" w:rsidR="00172A65" w:rsidRPr="00172A65" w:rsidRDefault="00172A65" w:rsidP="00172A65">
            <w:pPr>
              <w:spacing w:after="160" w:line="259" w:lineRule="auto"/>
              <w:rPr>
                <w:rFonts w:cstheme="minorHAnsi"/>
                <w:color w:val="211F20"/>
              </w:rPr>
            </w:pPr>
            <w:r w:rsidRPr="00172A65">
              <w:rPr>
                <w:rFonts w:cstheme="minorHAnsi"/>
                <w:color w:val="211F20"/>
              </w:rPr>
              <w:t xml:space="preserve">% </w:t>
            </w:r>
          </w:p>
        </w:tc>
      </w:tr>
      <w:tr w:rsidR="00172A65" w:rsidRPr="00447F3F" w14:paraId="2C11531B" w14:textId="77777777" w:rsidTr="00172A65">
        <w:trPr>
          <w:trHeight w:val="748"/>
          <w:jc w:val="center"/>
        </w:trPr>
        <w:tc>
          <w:tcPr>
            <w:tcW w:w="988" w:type="dxa"/>
            <w:vMerge w:val="restart"/>
            <w:textDirection w:val="btLr"/>
            <w:hideMark/>
          </w:tcPr>
          <w:p w14:paraId="5081AE03" w14:textId="77777777" w:rsidR="00172A65" w:rsidRPr="00172A65" w:rsidRDefault="00172A65" w:rsidP="00172A65">
            <w:pPr>
              <w:spacing w:after="160" w:line="259" w:lineRule="auto"/>
              <w:rPr>
                <w:rFonts w:cstheme="minorHAnsi"/>
                <w:color w:val="211F20"/>
              </w:rPr>
            </w:pPr>
            <w:r w:rsidRPr="00172A65">
              <w:rPr>
                <w:rFonts w:cstheme="minorHAnsi"/>
                <w:color w:val="211F20"/>
              </w:rPr>
              <w:t>Education Formation pour l'employabilité</w:t>
            </w:r>
          </w:p>
        </w:tc>
        <w:tc>
          <w:tcPr>
            <w:tcW w:w="2803" w:type="dxa"/>
            <w:hideMark/>
          </w:tcPr>
          <w:p w14:paraId="19FD7E5C" w14:textId="77777777" w:rsidR="00172A65" w:rsidRPr="00172A65" w:rsidRDefault="00172A65" w:rsidP="00172A65">
            <w:pPr>
              <w:spacing w:after="160" w:line="259" w:lineRule="auto"/>
              <w:rPr>
                <w:rFonts w:cstheme="minorHAnsi"/>
                <w:color w:val="211F20"/>
              </w:rPr>
            </w:pPr>
            <w:r w:rsidRPr="00172A65">
              <w:rPr>
                <w:rFonts w:cstheme="minorHAnsi"/>
                <w:color w:val="211F20"/>
              </w:rPr>
              <w:t>Education secondaire</w:t>
            </w:r>
          </w:p>
        </w:tc>
        <w:tc>
          <w:tcPr>
            <w:tcW w:w="939" w:type="dxa"/>
            <w:hideMark/>
          </w:tcPr>
          <w:p w14:paraId="2CE55E06"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114,3</w:t>
            </w:r>
          </w:p>
        </w:tc>
        <w:tc>
          <w:tcPr>
            <w:tcW w:w="1054" w:type="dxa"/>
            <w:hideMark/>
          </w:tcPr>
          <w:p w14:paraId="7654D46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114,30 </w:t>
            </w:r>
          </w:p>
        </w:tc>
        <w:tc>
          <w:tcPr>
            <w:tcW w:w="989" w:type="dxa"/>
            <w:hideMark/>
          </w:tcPr>
          <w:p w14:paraId="2F659DE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100,00%</w:t>
            </w:r>
          </w:p>
        </w:tc>
        <w:tc>
          <w:tcPr>
            <w:tcW w:w="1097" w:type="dxa"/>
            <w:hideMark/>
          </w:tcPr>
          <w:p w14:paraId="6866A39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112,48 </w:t>
            </w:r>
          </w:p>
        </w:tc>
        <w:tc>
          <w:tcPr>
            <w:tcW w:w="928" w:type="dxa"/>
            <w:hideMark/>
          </w:tcPr>
          <w:p w14:paraId="449DE1E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98,41%</w:t>
            </w:r>
          </w:p>
        </w:tc>
        <w:tc>
          <w:tcPr>
            <w:tcW w:w="929" w:type="dxa"/>
            <w:hideMark/>
          </w:tcPr>
          <w:p w14:paraId="77F0D1F4"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114,30 </w:t>
            </w:r>
          </w:p>
        </w:tc>
        <w:tc>
          <w:tcPr>
            <w:tcW w:w="986" w:type="dxa"/>
            <w:hideMark/>
          </w:tcPr>
          <w:p w14:paraId="6CB378D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100,00%</w:t>
            </w:r>
          </w:p>
        </w:tc>
        <w:tc>
          <w:tcPr>
            <w:tcW w:w="1197" w:type="dxa"/>
            <w:hideMark/>
          </w:tcPr>
          <w:p w14:paraId="3C2F01C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114,30 </w:t>
            </w:r>
          </w:p>
        </w:tc>
        <w:tc>
          <w:tcPr>
            <w:tcW w:w="990" w:type="dxa"/>
            <w:hideMark/>
          </w:tcPr>
          <w:p w14:paraId="72651CD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100,00%</w:t>
            </w:r>
          </w:p>
        </w:tc>
      </w:tr>
      <w:tr w:rsidR="00172A65" w:rsidRPr="00447F3F" w14:paraId="5F43814F" w14:textId="77777777" w:rsidTr="00172A65">
        <w:trPr>
          <w:trHeight w:val="625"/>
          <w:jc w:val="center"/>
        </w:trPr>
        <w:tc>
          <w:tcPr>
            <w:tcW w:w="988" w:type="dxa"/>
            <w:vMerge/>
            <w:hideMark/>
          </w:tcPr>
          <w:p w14:paraId="2FAE005C" w14:textId="77777777" w:rsidR="00172A65" w:rsidRPr="00172A65" w:rsidRDefault="00172A65" w:rsidP="00172A65">
            <w:pPr>
              <w:spacing w:after="160" w:line="259" w:lineRule="auto"/>
              <w:rPr>
                <w:rFonts w:cstheme="minorHAnsi"/>
                <w:color w:val="211F20"/>
              </w:rPr>
            </w:pPr>
          </w:p>
        </w:tc>
        <w:tc>
          <w:tcPr>
            <w:tcW w:w="2803" w:type="dxa"/>
            <w:hideMark/>
          </w:tcPr>
          <w:p w14:paraId="4150A330" w14:textId="77777777" w:rsidR="00172A65" w:rsidRPr="00172A65" w:rsidRDefault="00172A65" w:rsidP="00172A65">
            <w:pPr>
              <w:spacing w:after="160" w:line="259" w:lineRule="auto"/>
              <w:rPr>
                <w:rFonts w:cstheme="minorHAnsi"/>
                <w:color w:val="211F20"/>
              </w:rPr>
            </w:pPr>
            <w:r w:rsidRPr="00172A65">
              <w:rPr>
                <w:rFonts w:cstheme="minorHAnsi"/>
                <w:color w:val="211F20"/>
              </w:rPr>
              <w:t>Formation professionnelle</w:t>
            </w:r>
          </w:p>
        </w:tc>
        <w:tc>
          <w:tcPr>
            <w:tcW w:w="939" w:type="dxa"/>
            <w:hideMark/>
          </w:tcPr>
          <w:p w14:paraId="4D913324"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87,3</w:t>
            </w:r>
          </w:p>
        </w:tc>
        <w:tc>
          <w:tcPr>
            <w:tcW w:w="1054" w:type="dxa"/>
            <w:hideMark/>
          </w:tcPr>
          <w:p w14:paraId="5663C996"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86,24 </w:t>
            </w:r>
          </w:p>
        </w:tc>
        <w:tc>
          <w:tcPr>
            <w:tcW w:w="989" w:type="dxa"/>
            <w:hideMark/>
          </w:tcPr>
          <w:p w14:paraId="4D3973B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98,84%</w:t>
            </w:r>
          </w:p>
        </w:tc>
        <w:tc>
          <w:tcPr>
            <w:tcW w:w="1097" w:type="dxa"/>
            <w:hideMark/>
          </w:tcPr>
          <w:p w14:paraId="3018B60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84,34 </w:t>
            </w:r>
          </w:p>
        </w:tc>
        <w:tc>
          <w:tcPr>
            <w:tcW w:w="928" w:type="dxa"/>
            <w:hideMark/>
          </w:tcPr>
          <w:p w14:paraId="3F0C0B2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96,66%</w:t>
            </w:r>
          </w:p>
        </w:tc>
        <w:tc>
          <w:tcPr>
            <w:tcW w:w="929" w:type="dxa"/>
            <w:hideMark/>
          </w:tcPr>
          <w:p w14:paraId="4C13A9A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86,66 </w:t>
            </w:r>
          </w:p>
        </w:tc>
        <w:tc>
          <w:tcPr>
            <w:tcW w:w="986" w:type="dxa"/>
            <w:hideMark/>
          </w:tcPr>
          <w:p w14:paraId="295F91F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99,32%</w:t>
            </w:r>
          </w:p>
        </w:tc>
        <w:tc>
          <w:tcPr>
            <w:tcW w:w="1197" w:type="dxa"/>
            <w:hideMark/>
          </w:tcPr>
          <w:p w14:paraId="527013C3"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86,66 </w:t>
            </w:r>
          </w:p>
        </w:tc>
        <w:tc>
          <w:tcPr>
            <w:tcW w:w="990" w:type="dxa"/>
            <w:hideMark/>
          </w:tcPr>
          <w:p w14:paraId="30B307E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99,32%</w:t>
            </w:r>
          </w:p>
        </w:tc>
      </w:tr>
      <w:tr w:rsidR="00172A65" w:rsidRPr="00447F3F" w14:paraId="56AB6FE3" w14:textId="77777777" w:rsidTr="00172A65">
        <w:trPr>
          <w:trHeight w:val="519"/>
          <w:jc w:val="center"/>
        </w:trPr>
        <w:tc>
          <w:tcPr>
            <w:tcW w:w="988" w:type="dxa"/>
            <w:vMerge/>
            <w:hideMark/>
          </w:tcPr>
          <w:p w14:paraId="3BC4A3B8" w14:textId="77777777" w:rsidR="00172A65" w:rsidRPr="00172A65" w:rsidRDefault="00172A65" w:rsidP="00172A65">
            <w:pPr>
              <w:spacing w:after="160" w:line="259" w:lineRule="auto"/>
              <w:rPr>
                <w:rFonts w:cstheme="minorHAnsi"/>
                <w:color w:val="211F20"/>
              </w:rPr>
            </w:pPr>
          </w:p>
        </w:tc>
        <w:tc>
          <w:tcPr>
            <w:tcW w:w="2803" w:type="dxa"/>
            <w:hideMark/>
          </w:tcPr>
          <w:p w14:paraId="01C99287" w14:textId="77777777" w:rsidR="00172A65" w:rsidRPr="00172A65" w:rsidRDefault="00172A65" w:rsidP="00172A65">
            <w:pPr>
              <w:spacing w:after="160" w:line="259" w:lineRule="auto"/>
              <w:rPr>
                <w:rFonts w:cstheme="minorHAnsi"/>
                <w:color w:val="211F20"/>
              </w:rPr>
            </w:pPr>
            <w:r w:rsidRPr="00172A65">
              <w:rPr>
                <w:rFonts w:cstheme="minorHAnsi"/>
                <w:color w:val="211F20"/>
              </w:rPr>
              <w:t>Emploi</w:t>
            </w:r>
          </w:p>
        </w:tc>
        <w:tc>
          <w:tcPr>
            <w:tcW w:w="939" w:type="dxa"/>
            <w:hideMark/>
          </w:tcPr>
          <w:p w14:paraId="2D06FFDD"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24,7</w:t>
            </w:r>
          </w:p>
        </w:tc>
        <w:tc>
          <w:tcPr>
            <w:tcW w:w="1054" w:type="dxa"/>
            <w:hideMark/>
          </w:tcPr>
          <w:p w14:paraId="00928B5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23,29 </w:t>
            </w:r>
          </w:p>
        </w:tc>
        <w:tc>
          <w:tcPr>
            <w:tcW w:w="989" w:type="dxa"/>
            <w:hideMark/>
          </w:tcPr>
          <w:p w14:paraId="10F77E9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94,35%</w:t>
            </w:r>
          </w:p>
        </w:tc>
        <w:tc>
          <w:tcPr>
            <w:tcW w:w="1097" w:type="dxa"/>
            <w:hideMark/>
          </w:tcPr>
          <w:p w14:paraId="01C02A5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22,95 </w:t>
            </w:r>
          </w:p>
        </w:tc>
        <w:tc>
          <w:tcPr>
            <w:tcW w:w="928" w:type="dxa"/>
            <w:hideMark/>
          </w:tcPr>
          <w:p w14:paraId="4426306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93,00%</w:t>
            </w:r>
          </w:p>
        </w:tc>
        <w:tc>
          <w:tcPr>
            <w:tcW w:w="929" w:type="dxa"/>
            <w:hideMark/>
          </w:tcPr>
          <w:p w14:paraId="081ABB5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23,29 </w:t>
            </w:r>
          </w:p>
        </w:tc>
        <w:tc>
          <w:tcPr>
            <w:tcW w:w="986" w:type="dxa"/>
            <w:hideMark/>
          </w:tcPr>
          <w:p w14:paraId="0492C7D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94,35%</w:t>
            </w:r>
          </w:p>
        </w:tc>
        <w:tc>
          <w:tcPr>
            <w:tcW w:w="1197" w:type="dxa"/>
            <w:hideMark/>
          </w:tcPr>
          <w:p w14:paraId="0E09298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23,29 </w:t>
            </w:r>
          </w:p>
        </w:tc>
        <w:tc>
          <w:tcPr>
            <w:tcW w:w="990" w:type="dxa"/>
            <w:hideMark/>
          </w:tcPr>
          <w:p w14:paraId="108B9A4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94,35%</w:t>
            </w:r>
          </w:p>
        </w:tc>
      </w:tr>
      <w:tr w:rsidR="00172A65" w:rsidRPr="00447F3F" w14:paraId="067CCE11" w14:textId="77777777" w:rsidTr="00172A65">
        <w:trPr>
          <w:trHeight w:val="412"/>
          <w:jc w:val="center"/>
        </w:trPr>
        <w:tc>
          <w:tcPr>
            <w:tcW w:w="988" w:type="dxa"/>
            <w:vMerge w:val="restart"/>
            <w:textDirection w:val="btLr"/>
            <w:hideMark/>
          </w:tcPr>
          <w:p w14:paraId="09F0313C" w14:textId="77777777" w:rsidR="00172A65" w:rsidRPr="00172A65" w:rsidRDefault="00172A65" w:rsidP="00A84544">
            <w:pPr>
              <w:spacing w:after="160" w:line="259" w:lineRule="auto"/>
              <w:jc w:val="center"/>
              <w:rPr>
                <w:rFonts w:cstheme="minorHAnsi"/>
                <w:color w:val="211F20"/>
              </w:rPr>
            </w:pPr>
            <w:r w:rsidRPr="00172A65">
              <w:rPr>
                <w:rFonts w:cstheme="minorHAnsi"/>
                <w:color w:val="211F20"/>
              </w:rPr>
              <w:t>Productivité</w:t>
            </w:r>
            <w:r w:rsidRPr="00172A65">
              <w:rPr>
                <w:rFonts w:cstheme="minorHAnsi"/>
                <w:color w:val="211F20"/>
              </w:rPr>
              <w:br/>
              <w:t xml:space="preserve"> du foncier</w:t>
            </w:r>
          </w:p>
        </w:tc>
        <w:tc>
          <w:tcPr>
            <w:tcW w:w="2803" w:type="dxa"/>
            <w:hideMark/>
          </w:tcPr>
          <w:p w14:paraId="5E9D6F23" w14:textId="77777777" w:rsidR="00172A65" w:rsidRPr="00172A65" w:rsidRDefault="00172A65" w:rsidP="00172A65">
            <w:pPr>
              <w:spacing w:after="160" w:line="259" w:lineRule="auto"/>
              <w:rPr>
                <w:rFonts w:cstheme="minorHAnsi"/>
                <w:color w:val="211F20"/>
              </w:rPr>
            </w:pPr>
            <w:r w:rsidRPr="00172A65">
              <w:rPr>
                <w:rFonts w:cstheme="minorHAnsi"/>
                <w:color w:val="211F20"/>
              </w:rPr>
              <w:t>Gouvernance du Foncier</w:t>
            </w:r>
          </w:p>
        </w:tc>
        <w:tc>
          <w:tcPr>
            <w:tcW w:w="939" w:type="dxa"/>
            <w:hideMark/>
          </w:tcPr>
          <w:p w14:paraId="58BD6F3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w:t>
            </w:r>
          </w:p>
        </w:tc>
        <w:tc>
          <w:tcPr>
            <w:tcW w:w="1054" w:type="dxa"/>
            <w:hideMark/>
          </w:tcPr>
          <w:p w14:paraId="7660D1E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8,42 </w:t>
            </w:r>
          </w:p>
        </w:tc>
        <w:tc>
          <w:tcPr>
            <w:tcW w:w="989" w:type="dxa"/>
            <w:hideMark/>
          </w:tcPr>
          <w:p w14:paraId="7B621A0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85,51%</w:t>
            </w:r>
          </w:p>
        </w:tc>
        <w:tc>
          <w:tcPr>
            <w:tcW w:w="1097" w:type="dxa"/>
            <w:hideMark/>
          </w:tcPr>
          <w:p w14:paraId="7D8C9F7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8,42 </w:t>
            </w:r>
          </w:p>
        </w:tc>
        <w:tc>
          <w:tcPr>
            <w:tcW w:w="928" w:type="dxa"/>
            <w:hideMark/>
          </w:tcPr>
          <w:p w14:paraId="16CE388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85,51%</w:t>
            </w:r>
          </w:p>
        </w:tc>
        <w:tc>
          <w:tcPr>
            <w:tcW w:w="929" w:type="dxa"/>
            <w:hideMark/>
          </w:tcPr>
          <w:p w14:paraId="005B519D"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8,42 </w:t>
            </w:r>
          </w:p>
        </w:tc>
        <w:tc>
          <w:tcPr>
            <w:tcW w:w="986" w:type="dxa"/>
            <w:hideMark/>
          </w:tcPr>
          <w:p w14:paraId="4A569AD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85,51%</w:t>
            </w:r>
          </w:p>
        </w:tc>
        <w:tc>
          <w:tcPr>
            <w:tcW w:w="1197" w:type="dxa"/>
            <w:hideMark/>
          </w:tcPr>
          <w:p w14:paraId="777F541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8,42 </w:t>
            </w:r>
          </w:p>
        </w:tc>
        <w:tc>
          <w:tcPr>
            <w:tcW w:w="990" w:type="dxa"/>
            <w:hideMark/>
          </w:tcPr>
          <w:p w14:paraId="6ACAF09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85,51%</w:t>
            </w:r>
          </w:p>
        </w:tc>
      </w:tr>
      <w:tr w:rsidR="00172A65" w:rsidRPr="00447F3F" w14:paraId="4D6A474E" w14:textId="77777777" w:rsidTr="00172A65">
        <w:trPr>
          <w:trHeight w:val="437"/>
          <w:jc w:val="center"/>
        </w:trPr>
        <w:tc>
          <w:tcPr>
            <w:tcW w:w="988" w:type="dxa"/>
            <w:vMerge/>
            <w:hideMark/>
          </w:tcPr>
          <w:p w14:paraId="7CFA035E" w14:textId="77777777" w:rsidR="00172A65" w:rsidRPr="00172A65" w:rsidRDefault="00172A65" w:rsidP="00172A65">
            <w:pPr>
              <w:spacing w:after="160" w:line="259" w:lineRule="auto"/>
              <w:rPr>
                <w:rFonts w:cstheme="minorHAnsi"/>
                <w:color w:val="211F20"/>
              </w:rPr>
            </w:pPr>
          </w:p>
        </w:tc>
        <w:tc>
          <w:tcPr>
            <w:tcW w:w="2803" w:type="dxa"/>
            <w:hideMark/>
          </w:tcPr>
          <w:p w14:paraId="1E6018E6" w14:textId="77777777" w:rsidR="00172A65" w:rsidRPr="00172A65" w:rsidRDefault="00172A65" w:rsidP="00172A65">
            <w:pPr>
              <w:spacing w:after="160" w:line="259" w:lineRule="auto"/>
              <w:rPr>
                <w:rFonts w:cstheme="minorHAnsi"/>
                <w:color w:val="211F20"/>
              </w:rPr>
            </w:pPr>
            <w:r w:rsidRPr="00172A65">
              <w:rPr>
                <w:rFonts w:cstheme="minorHAnsi"/>
                <w:color w:val="211F20"/>
              </w:rPr>
              <w:t>Foncier Rural</w:t>
            </w:r>
          </w:p>
        </w:tc>
        <w:tc>
          <w:tcPr>
            <w:tcW w:w="939" w:type="dxa"/>
            <w:hideMark/>
          </w:tcPr>
          <w:p w14:paraId="67A7EAD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32,7</w:t>
            </w:r>
          </w:p>
        </w:tc>
        <w:tc>
          <w:tcPr>
            <w:tcW w:w="1054" w:type="dxa"/>
            <w:hideMark/>
          </w:tcPr>
          <w:p w14:paraId="2FE86E2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30,88 </w:t>
            </w:r>
          </w:p>
        </w:tc>
        <w:tc>
          <w:tcPr>
            <w:tcW w:w="989" w:type="dxa"/>
            <w:hideMark/>
          </w:tcPr>
          <w:p w14:paraId="02D5BACA"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94,37%</w:t>
            </w:r>
          </w:p>
        </w:tc>
        <w:tc>
          <w:tcPr>
            <w:tcW w:w="1097" w:type="dxa"/>
            <w:hideMark/>
          </w:tcPr>
          <w:p w14:paraId="5C6B7FD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29,80 </w:t>
            </w:r>
          </w:p>
        </w:tc>
        <w:tc>
          <w:tcPr>
            <w:tcW w:w="928" w:type="dxa"/>
            <w:hideMark/>
          </w:tcPr>
          <w:p w14:paraId="23145E9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91,08%</w:t>
            </w:r>
          </w:p>
        </w:tc>
        <w:tc>
          <w:tcPr>
            <w:tcW w:w="929" w:type="dxa"/>
            <w:hideMark/>
          </w:tcPr>
          <w:p w14:paraId="5F7E48A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30,88 </w:t>
            </w:r>
          </w:p>
        </w:tc>
        <w:tc>
          <w:tcPr>
            <w:tcW w:w="986" w:type="dxa"/>
            <w:hideMark/>
          </w:tcPr>
          <w:p w14:paraId="0AB73C64"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94,37%</w:t>
            </w:r>
          </w:p>
        </w:tc>
        <w:tc>
          <w:tcPr>
            <w:tcW w:w="1197" w:type="dxa"/>
            <w:hideMark/>
          </w:tcPr>
          <w:p w14:paraId="3294818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30,88 </w:t>
            </w:r>
          </w:p>
        </w:tc>
        <w:tc>
          <w:tcPr>
            <w:tcW w:w="990" w:type="dxa"/>
            <w:hideMark/>
          </w:tcPr>
          <w:p w14:paraId="0638D5A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94,37%</w:t>
            </w:r>
          </w:p>
        </w:tc>
      </w:tr>
      <w:tr w:rsidR="00172A65" w:rsidRPr="00447F3F" w14:paraId="30EAFF97" w14:textId="77777777" w:rsidTr="00A84544">
        <w:trPr>
          <w:trHeight w:val="411"/>
          <w:jc w:val="center"/>
        </w:trPr>
        <w:tc>
          <w:tcPr>
            <w:tcW w:w="988" w:type="dxa"/>
            <w:vMerge/>
            <w:hideMark/>
          </w:tcPr>
          <w:p w14:paraId="013E660A" w14:textId="77777777" w:rsidR="00172A65" w:rsidRPr="00172A65" w:rsidRDefault="00172A65" w:rsidP="00172A65">
            <w:pPr>
              <w:spacing w:after="160" w:line="259" w:lineRule="auto"/>
              <w:rPr>
                <w:rFonts w:cstheme="minorHAnsi"/>
                <w:color w:val="211F20"/>
              </w:rPr>
            </w:pPr>
          </w:p>
        </w:tc>
        <w:tc>
          <w:tcPr>
            <w:tcW w:w="2803" w:type="dxa"/>
            <w:hideMark/>
          </w:tcPr>
          <w:p w14:paraId="51DD33E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Sites pilotes </w:t>
            </w:r>
          </w:p>
        </w:tc>
        <w:tc>
          <w:tcPr>
            <w:tcW w:w="939" w:type="dxa"/>
            <w:hideMark/>
          </w:tcPr>
          <w:p w14:paraId="2E1DB79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74,6</w:t>
            </w:r>
          </w:p>
        </w:tc>
        <w:tc>
          <w:tcPr>
            <w:tcW w:w="1054" w:type="dxa"/>
            <w:hideMark/>
          </w:tcPr>
          <w:p w14:paraId="4519969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72,38 </w:t>
            </w:r>
          </w:p>
        </w:tc>
        <w:tc>
          <w:tcPr>
            <w:tcW w:w="989" w:type="dxa"/>
            <w:hideMark/>
          </w:tcPr>
          <w:p w14:paraId="01B209AD"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96,69%</w:t>
            </w:r>
          </w:p>
        </w:tc>
        <w:tc>
          <w:tcPr>
            <w:tcW w:w="1097" w:type="dxa"/>
            <w:hideMark/>
          </w:tcPr>
          <w:p w14:paraId="2629F2E3"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71,11 </w:t>
            </w:r>
          </w:p>
        </w:tc>
        <w:tc>
          <w:tcPr>
            <w:tcW w:w="928" w:type="dxa"/>
            <w:hideMark/>
          </w:tcPr>
          <w:p w14:paraId="3257BB6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94,99%</w:t>
            </w:r>
          </w:p>
        </w:tc>
        <w:tc>
          <w:tcPr>
            <w:tcW w:w="929" w:type="dxa"/>
            <w:hideMark/>
          </w:tcPr>
          <w:p w14:paraId="6ABDD74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72,64 </w:t>
            </w:r>
          </w:p>
        </w:tc>
        <w:tc>
          <w:tcPr>
            <w:tcW w:w="986" w:type="dxa"/>
            <w:hideMark/>
          </w:tcPr>
          <w:p w14:paraId="0FF7BB3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97,03%</w:t>
            </w:r>
          </w:p>
        </w:tc>
        <w:tc>
          <w:tcPr>
            <w:tcW w:w="1197" w:type="dxa"/>
            <w:hideMark/>
          </w:tcPr>
          <w:p w14:paraId="2DD62EA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72,64 </w:t>
            </w:r>
          </w:p>
        </w:tc>
        <w:tc>
          <w:tcPr>
            <w:tcW w:w="990" w:type="dxa"/>
            <w:hideMark/>
          </w:tcPr>
          <w:p w14:paraId="0CC9B32A"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97,03%</w:t>
            </w:r>
          </w:p>
        </w:tc>
      </w:tr>
      <w:tr w:rsidR="00172A65" w:rsidRPr="00447F3F" w14:paraId="494DFBA1" w14:textId="77777777" w:rsidTr="00172A65">
        <w:trPr>
          <w:trHeight w:val="363"/>
          <w:jc w:val="center"/>
        </w:trPr>
        <w:tc>
          <w:tcPr>
            <w:tcW w:w="988" w:type="dxa"/>
            <w:vMerge/>
            <w:hideMark/>
          </w:tcPr>
          <w:p w14:paraId="425C1993" w14:textId="77777777" w:rsidR="00172A65" w:rsidRPr="00172A65" w:rsidRDefault="00172A65" w:rsidP="00172A65">
            <w:pPr>
              <w:spacing w:after="160" w:line="259" w:lineRule="auto"/>
              <w:rPr>
                <w:rFonts w:cstheme="minorHAnsi"/>
                <w:color w:val="211F20"/>
              </w:rPr>
            </w:pPr>
          </w:p>
        </w:tc>
        <w:tc>
          <w:tcPr>
            <w:tcW w:w="2803" w:type="dxa"/>
            <w:hideMark/>
          </w:tcPr>
          <w:p w14:paraId="624DEE7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FONZID</w:t>
            </w:r>
          </w:p>
        </w:tc>
        <w:tc>
          <w:tcPr>
            <w:tcW w:w="939" w:type="dxa"/>
            <w:hideMark/>
          </w:tcPr>
          <w:p w14:paraId="62C187A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48,8</w:t>
            </w:r>
          </w:p>
        </w:tc>
        <w:tc>
          <w:tcPr>
            <w:tcW w:w="1054" w:type="dxa"/>
            <w:hideMark/>
          </w:tcPr>
          <w:p w14:paraId="357DA4ED"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48,70 </w:t>
            </w:r>
          </w:p>
        </w:tc>
        <w:tc>
          <w:tcPr>
            <w:tcW w:w="989" w:type="dxa"/>
            <w:hideMark/>
          </w:tcPr>
          <w:p w14:paraId="302CE5BA"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99,87%</w:t>
            </w:r>
          </w:p>
        </w:tc>
        <w:tc>
          <w:tcPr>
            <w:tcW w:w="1097" w:type="dxa"/>
            <w:hideMark/>
          </w:tcPr>
          <w:p w14:paraId="4575CAF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44,32 </w:t>
            </w:r>
          </w:p>
        </w:tc>
        <w:tc>
          <w:tcPr>
            <w:tcW w:w="928" w:type="dxa"/>
            <w:hideMark/>
          </w:tcPr>
          <w:p w14:paraId="52F7462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90,90%</w:t>
            </w:r>
          </w:p>
        </w:tc>
        <w:tc>
          <w:tcPr>
            <w:tcW w:w="929" w:type="dxa"/>
            <w:hideMark/>
          </w:tcPr>
          <w:p w14:paraId="734A643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48,70 </w:t>
            </w:r>
          </w:p>
        </w:tc>
        <w:tc>
          <w:tcPr>
            <w:tcW w:w="986" w:type="dxa"/>
            <w:hideMark/>
          </w:tcPr>
          <w:p w14:paraId="07F4427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99,87%</w:t>
            </w:r>
          </w:p>
        </w:tc>
        <w:tc>
          <w:tcPr>
            <w:tcW w:w="1197" w:type="dxa"/>
            <w:hideMark/>
          </w:tcPr>
          <w:p w14:paraId="40A7967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48,70 </w:t>
            </w:r>
          </w:p>
        </w:tc>
        <w:tc>
          <w:tcPr>
            <w:tcW w:w="990" w:type="dxa"/>
            <w:hideMark/>
          </w:tcPr>
          <w:p w14:paraId="78434F81"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99,87%</w:t>
            </w:r>
          </w:p>
        </w:tc>
      </w:tr>
      <w:tr w:rsidR="00172A65" w:rsidRPr="00447F3F" w14:paraId="0F3064B3" w14:textId="77777777" w:rsidTr="00172A65">
        <w:trPr>
          <w:trHeight w:val="462"/>
          <w:jc w:val="center"/>
        </w:trPr>
        <w:tc>
          <w:tcPr>
            <w:tcW w:w="988" w:type="dxa"/>
            <w:vMerge/>
            <w:hideMark/>
          </w:tcPr>
          <w:p w14:paraId="4FBB1B64" w14:textId="77777777" w:rsidR="00172A65" w:rsidRPr="00172A65" w:rsidRDefault="00172A65" w:rsidP="00172A65">
            <w:pPr>
              <w:spacing w:after="160" w:line="259" w:lineRule="auto"/>
              <w:rPr>
                <w:rFonts w:cstheme="minorHAnsi"/>
                <w:color w:val="211F20"/>
              </w:rPr>
            </w:pPr>
          </w:p>
        </w:tc>
        <w:tc>
          <w:tcPr>
            <w:tcW w:w="2803" w:type="dxa"/>
            <w:hideMark/>
          </w:tcPr>
          <w:p w14:paraId="5816A53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AT </w:t>
            </w:r>
          </w:p>
        </w:tc>
        <w:tc>
          <w:tcPr>
            <w:tcW w:w="939" w:type="dxa"/>
            <w:hideMark/>
          </w:tcPr>
          <w:p w14:paraId="77CE142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5</w:t>
            </w:r>
          </w:p>
        </w:tc>
        <w:tc>
          <w:tcPr>
            <w:tcW w:w="1054" w:type="dxa"/>
            <w:hideMark/>
          </w:tcPr>
          <w:p w14:paraId="37E8648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4,18 </w:t>
            </w:r>
          </w:p>
        </w:tc>
        <w:tc>
          <w:tcPr>
            <w:tcW w:w="989" w:type="dxa"/>
            <w:hideMark/>
          </w:tcPr>
          <w:p w14:paraId="69655DCA"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84,40%</w:t>
            </w:r>
          </w:p>
        </w:tc>
        <w:tc>
          <w:tcPr>
            <w:tcW w:w="1097" w:type="dxa"/>
            <w:hideMark/>
          </w:tcPr>
          <w:p w14:paraId="70CC0AE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4,18 </w:t>
            </w:r>
          </w:p>
        </w:tc>
        <w:tc>
          <w:tcPr>
            <w:tcW w:w="928" w:type="dxa"/>
            <w:hideMark/>
          </w:tcPr>
          <w:p w14:paraId="5ECB888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84,40%</w:t>
            </w:r>
          </w:p>
        </w:tc>
        <w:tc>
          <w:tcPr>
            <w:tcW w:w="929" w:type="dxa"/>
            <w:hideMark/>
          </w:tcPr>
          <w:p w14:paraId="41407A14"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4,18 </w:t>
            </w:r>
          </w:p>
        </w:tc>
        <w:tc>
          <w:tcPr>
            <w:tcW w:w="986" w:type="dxa"/>
            <w:hideMark/>
          </w:tcPr>
          <w:p w14:paraId="61983A7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84,40%</w:t>
            </w:r>
          </w:p>
        </w:tc>
        <w:tc>
          <w:tcPr>
            <w:tcW w:w="1197" w:type="dxa"/>
            <w:hideMark/>
          </w:tcPr>
          <w:p w14:paraId="2807C1F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4,18 </w:t>
            </w:r>
          </w:p>
        </w:tc>
        <w:tc>
          <w:tcPr>
            <w:tcW w:w="990" w:type="dxa"/>
            <w:hideMark/>
          </w:tcPr>
          <w:p w14:paraId="4CA91FA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84,40%</w:t>
            </w:r>
          </w:p>
        </w:tc>
      </w:tr>
      <w:tr w:rsidR="00447F3F" w:rsidRPr="00447F3F" w14:paraId="5DDE0C67" w14:textId="77777777" w:rsidTr="00172A65">
        <w:trPr>
          <w:trHeight w:val="277"/>
          <w:jc w:val="center"/>
        </w:trPr>
        <w:tc>
          <w:tcPr>
            <w:tcW w:w="3791" w:type="dxa"/>
            <w:gridSpan w:val="2"/>
            <w:hideMark/>
          </w:tcPr>
          <w:p w14:paraId="4E93D362" w14:textId="77777777" w:rsidR="00172A65" w:rsidRPr="00172A65" w:rsidRDefault="00172A65" w:rsidP="00172A65">
            <w:pPr>
              <w:spacing w:after="160" w:line="259" w:lineRule="auto"/>
              <w:rPr>
                <w:rFonts w:cstheme="minorHAnsi"/>
                <w:color w:val="211F20"/>
              </w:rPr>
            </w:pPr>
            <w:r w:rsidRPr="00172A65">
              <w:rPr>
                <w:rFonts w:cstheme="minorHAnsi"/>
                <w:color w:val="211F20"/>
              </w:rPr>
              <w:t>Suivi et Evaluation</w:t>
            </w:r>
          </w:p>
        </w:tc>
        <w:tc>
          <w:tcPr>
            <w:tcW w:w="939" w:type="dxa"/>
            <w:hideMark/>
          </w:tcPr>
          <w:p w14:paraId="182144D3"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6,5</w:t>
            </w:r>
          </w:p>
        </w:tc>
        <w:tc>
          <w:tcPr>
            <w:tcW w:w="1054" w:type="dxa"/>
            <w:hideMark/>
          </w:tcPr>
          <w:p w14:paraId="4F5A0D8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5,10 </w:t>
            </w:r>
          </w:p>
        </w:tc>
        <w:tc>
          <w:tcPr>
            <w:tcW w:w="989" w:type="dxa"/>
            <w:hideMark/>
          </w:tcPr>
          <w:p w14:paraId="4CC684DB"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78,76%</w:t>
            </w:r>
          </w:p>
        </w:tc>
        <w:tc>
          <w:tcPr>
            <w:tcW w:w="1097" w:type="dxa"/>
            <w:hideMark/>
          </w:tcPr>
          <w:p w14:paraId="76E3ACF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4,39 </w:t>
            </w:r>
          </w:p>
        </w:tc>
        <w:tc>
          <w:tcPr>
            <w:tcW w:w="928" w:type="dxa"/>
            <w:hideMark/>
          </w:tcPr>
          <w:p w14:paraId="176F265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67,80%</w:t>
            </w:r>
          </w:p>
        </w:tc>
        <w:tc>
          <w:tcPr>
            <w:tcW w:w="929" w:type="dxa"/>
            <w:hideMark/>
          </w:tcPr>
          <w:p w14:paraId="1E1DE03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5,30 </w:t>
            </w:r>
          </w:p>
        </w:tc>
        <w:tc>
          <w:tcPr>
            <w:tcW w:w="986" w:type="dxa"/>
            <w:hideMark/>
          </w:tcPr>
          <w:p w14:paraId="7B309D29"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81,86%</w:t>
            </w:r>
          </w:p>
        </w:tc>
        <w:tc>
          <w:tcPr>
            <w:tcW w:w="1197" w:type="dxa"/>
            <w:hideMark/>
          </w:tcPr>
          <w:p w14:paraId="130A2AA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5,30 </w:t>
            </w:r>
          </w:p>
        </w:tc>
        <w:tc>
          <w:tcPr>
            <w:tcW w:w="990" w:type="dxa"/>
            <w:hideMark/>
          </w:tcPr>
          <w:p w14:paraId="08130CC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81,86%</w:t>
            </w:r>
          </w:p>
        </w:tc>
      </w:tr>
      <w:tr w:rsidR="00447F3F" w:rsidRPr="00447F3F" w14:paraId="0EF0118E" w14:textId="77777777" w:rsidTr="00172A65">
        <w:trPr>
          <w:trHeight w:val="399"/>
          <w:jc w:val="center"/>
        </w:trPr>
        <w:tc>
          <w:tcPr>
            <w:tcW w:w="3791" w:type="dxa"/>
            <w:gridSpan w:val="2"/>
            <w:hideMark/>
          </w:tcPr>
          <w:p w14:paraId="2A8EAAA7" w14:textId="77777777" w:rsidR="00172A65" w:rsidRPr="00172A65" w:rsidRDefault="00172A65" w:rsidP="00172A65">
            <w:pPr>
              <w:spacing w:after="160" w:line="259" w:lineRule="auto"/>
              <w:rPr>
                <w:rFonts w:cstheme="minorHAnsi"/>
                <w:color w:val="211F20"/>
              </w:rPr>
            </w:pPr>
            <w:r w:rsidRPr="00172A65">
              <w:rPr>
                <w:rFonts w:cstheme="minorHAnsi"/>
                <w:color w:val="211F20"/>
              </w:rPr>
              <w:t>Administration du programme</w:t>
            </w:r>
          </w:p>
        </w:tc>
        <w:tc>
          <w:tcPr>
            <w:tcW w:w="939" w:type="dxa"/>
            <w:hideMark/>
          </w:tcPr>
          <w:p w14:paraId="3E359D56"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56,7</w:t>
            </w:r>
          </w:p>
        </w:tc>
        <w:tc>
          <w:tcPr>
            <w:tcW w:w="1054" w:type="dxa"/>
            <w:hideMark/>
          </w:tcPr>
          <w:p w14:paraId="29E1CFD3"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52,74 </w:t>
            </w:r>
          </w:p>
        </w:tc>
        <w:tc>
          <w:tcPr>
            <w:tcW w:w="989" w:type="dxa"/>
            <w:hideMark/>
          </w:tcPr>
          <w:p w14:paraId="56EE947D"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93,07%</w:t>
            </w:r>
          </w:p>
        </w:tc>
        <w:tc>
          <w:tcPr>
            <w:tcW w:w="1097" w:type="dxa"/>
            <w:hideMark/>
          </w:tcPr>
          <w:p w14:paraId="19C35A27"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51,93 </w:t>
            </w:r>
          </w:p>
        </w:tc>
        <w:tc>
          <w:tcPr>
            <w:tcW w:w="928" w:type="dxa"/>
            <w:hideMark/>
          </w:tcPr>
          <w:p w14:paraId="76663C5E"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91,64%</w:t>
            </w:r>
          </w:p>
        </w:tc>
        <w:tc>
          <w:tcPr>
            <w:tcW w:w="929" w:type="dxa"/>
            <w:hideMark/>
          </w:tcPr>
          <w:p w14:paraId="4B26D6D0"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55,25 </w:t>
            </w:r>
          </w:p>
        </w:tc>
        <w:tc>
          <w:tcPr>
            <w:tcW w:w="986" w:type="dxa"/>
            <w:hideMark/>
          </w:tcPr>
          <w:p w14:paraId="2C0BBC5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97,49%</w:t>
            </w:r>
          </w:p>
        </w:tc>
        <w:tc>
          <w:tcPr>
            <w:tcW w:w="1197" w:type="dxa"/>
            <w:hideMark/>
          </w:tcPr>
          <w:p w14:paraId="5945E43F"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55,25 </w:t>
            </w:r>
          </w:p>
        </w:tc>
        <w:tc>
          <w:tcPr>
            <w:tcW w:w="990" w:type="dxa"/>
            <w:hideMark/>
          </w:tcPr>
          <w:p w14:paraId="6952220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97,49%</w:t>
            </w:r>
          </w:p>
        </w:tc>
      </w:tr>
      <w:tr w:rsidR="00447F3F" w:rsidRPr="00447F3F" w14:paraId="06530089" w14:textId="77777777" w:rsidTr="00172A65">
        <w:trPr>
          <w:trHeight w:val="347"/>
          <w:jc w:val="center"/>
        </w:trPr>
        <w:tc>
          <w:tcPr>
            <w:tcW w:w="3791" w:type="dxa"/>
            <w:gridSpan w:val="2"/>
            <w:hideMark/>
          </w:tcPr>
          <w:p w14:paraId="2ADE321B" w14:textId="77777777" w:rsidR="00172A65" w:rsidRPr="00172A65" w:rsidRDefault="00172A65" w:rsidP="00172A65">
            <w:pPr>
              <w:spacing w:after="160" w:line="259" w:lineRule="auto"/>
              <w:rPr>
                <w:rFonts w:cstheme="minorHAnsi"/>
                <w:color w:val="211F20"/>
              </w:rPr>
            </w:pPr>
            <w:r w:rsidRPr="00172A65">
              <w:rPr>
                <w:rFonts w:cstheme="minorHAnsi"/>
                <w:color w:val="211F20"/>
              </w:rPr>
              <w:t>Total</w:t>
            </w:r>
          </w:p>
        </w:tc>
        <w:tc>
          <w:tcPr>
            <w:tcW w:w="939" w:type="dxa"/>
            <w:hideMark/>
          </w:tcPr>
          <w:p w14:paraId="2934EE2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460,5</w:t>
            </w:r>
          </w:p>
        </w:tc>
        <w:tc>
          <w:tcPr>
            <w:tcW w:w="1054" w:type="dxa"/>
            <w:hideMark/>
          </w:tcPr>
          <w:p w14:paraId="6EA13EC8"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446,22 </w:t>
            </w:r>
          </w:p>
        </w:tc>
        <w:tc>
          <w:tcPr>
            <w:tcW w:w="989" w:type="dxa"/>
            <w:hideMark/>
          </w:tcPr>
          <w:p w14:paraId="3AF27F16"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96,90%</w:t>
            </w:r>
          </w:p>
        </w:tc>
        <w:tc>
          <w:tcPr>
            <w:tcW w:w="1097" w:type="dxa"/>
            <w:hideMark/>
          </w:tcPr>
          <w:p w14:paraId="04022F5C"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433,91 </w:t>
            </w:r>
          </w:p>
        </w:tc>
        <w:tc>
          <w:tcPr>
            <w:tcW w:w="928" w:type="dxa"/>
            <w:hideMark/>
          </w:tcPr>
          <w:p w14:paraId="62DF9105"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94,23%</w:t>
            </w:r>
          </w:p>
        </w:tc>
        <w:tc>
          <w:tcPr>
            <w:tcW w:w="929" w:type="dxa"/>
            <w:hideMark/>
          </w:tcPr>
          <w:p w14:paraId="35CB5A4A"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449,59 </w:t>
            </w:r>
          </w:p>
        </w:tc>
        <w:tc>
          <w:tcPr>
            <w:tcW w:w="986" w:type="dxa"/>
            <w:hideMark/>
          </w:tcPr>
          <w:p w14:paraId="55538AD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97,63%</w:t>
            </w:r>
          </w:p>
        </w:tc>
        <w:tc>
          <w:tcPr>
            <w:tcW w:w="1197" w:type="dxa"/>
            <w:hideMark/>
          </w:tcPr>
          <w:p w14:paraId="01016E23"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 xml:space="preserve">449,59 </w:t>
            </w:r>
          </w:p>
        </w:tc>
        <w:tc>
          <w:tcPr>
            <w:tcW w:w="990" w:type="dxa"/>
            <w:hideMark/>
          </w:tcPr>
          <w:p w14:paraId="2EEAF202" w14:textId="77777777" w:rsidR="00172A65" w:rsidRPr="00172A65" w:rsidRDefault="00172A65" w:rsidP="00172A65">
            <w:pPr>
              <w:spacing w:after="160" w:line="259" w:lineRule="auto"/>
              <w:rPr>
                <w:rFonts w:cstheme="minorHAnsi"/>
                <w:color w:val="211F20"/>
              </w:rPr>
            </w:pPr>
            <w:r w:rsidRPr="00172A65">
              <w:rPr>
                <w:rFonts w:cstheme="minorHAnsi"/>
                <w:color w:val="211F20"/>
                <w:lang w:val="fr-MA"/>
              </w:rPr>
              <w:t>97,63%</w:t>
            </w:r>
          </w:p>
        </w:tc>
      </w:tr>
    </w:tbl>
    <w:p w14:paraId="2B53F419" w14:textId="77777777" w:rsidR="00172A65" w:rsidRPr="00447F3F" w:rsidRDefault="00172A65">
      <w:pPr>
        <w:rPr>
          <w:rFonts w:cstheme="minorHAnsi"/>
          <w:color w:val="211F20"/>
        </w:rPr>
        <w:sectPr w:rsidR="00172A65" w:rsidRPr="00447F3F" w:rsidSect="00172A65">
          <w:pgSz w:w="16838" w:h="11906" w:orient="landscape"/>
          <w:pgMar w:top="1418" w:right="1134" w:bottom="1418" w:left="1276" w:header="142" w:footer="147" w:gutter="0"/>
          <w:cols w:space="708"/>
          <w:titlePg/>
          <w:docGrid w:linePitch="360"/>
        </w:sectPr>
      </w:pPr>
    </w:p>
    <w:p w14:paraId="65844985" w14:textId="1492CC09" w:rsidR="001E5018" w:rsidRPr="00447F3F" w:rsidRDefault="001E5018" w:rsidP="00615055">
      <w:pPr>
        <w:spacing w:after="120"/>
        <w:jc w:val="both"/>
        <w:rPr>
          <w:rFonts w:cstheme="minorHAnsi"/>
        </w:rPr>
      </w:pPr>
    </w:p>
    <w:p w14:paraId="5E066554" w14:textId="77777777" w:rsidR="009143D0" w:rsidRDefault="001E5018" w:rsidP="00615055">
      <w:pPr>
        <w:spacing w:after="120"/>
        <w:jc w:val="both"/>
        <w:rPr>
          <w:rFonts w:cstheme="minorHAnsi"/>
        </w:rPr>
      </w:pPr>
      <w:r w:rsidRPr="00447F3F">
        <w:rPr>
          <w:rFonts w:cstheme="minorHAnsi"/>
        </w:rPr>
        <w:t>A la fin de son intervention, madame Laasri a mis l’accent sur certaines actions qui mérite</w:t>
      </w:r>
      <w:r w:rsidR="00612A8A">
        <w:rPr>
          <w:rFonts w:cstheme="minorHAnsi"/>
        </w:rPr>
        <w:t>nt</w:t>
      </w:r>
      <w:r w:rsidRPr="00447F3F">
        <w:rPr>
          <w:rFonts w:cstheme="minorHAnsi"/>
        </w:rPr>
        <w:t xml:space="preserve"> un suivi particulier et un appui des membres du COS concernés</w:t>
      </w:r>
      <w:r w:rsidR="009143D0">
        <w:rPr>
          <w:rFonts w:cstheme="minorHAnsi"/>
        </w:rPr>
        <w:t>.</w:t>
      </w:r>
    </w:p>
    <w:p w14:paraId="11DAFFA5" w14:textId="005D6D41" w:rsidR="00B63BB9" w:rsidRPr="00447F3F" w:rsidRDefault="000465E0" w:rsidP="001E5018">
      <w:pPr>
        <w:spacing w:after="120"/>
        <w:jc w:val="both"/>
        <w:rPr>
          <w:rFonts w:cstheme="minorHAnsi"/>
        </w:rPr>
      </w:pPr>
      <w:r w:rsidRPr="00447F3F">
        <w:rPr>
          <w:rFonts w:cstheme="minorHAnsi"/>
        </w:rPr>
        <w:t xml:space="preserve">Ensuite, </w:t>
      </w:r>
      <w:r w:rsidR="001E5018" w:rsidRPr="00447F3F">
        <w:rPr>
          <w:rFonts w:cstheme="minorHAnsi"/>
        </w:rPr>
        <w:t>Mme la</w:t>
      </w:r>
      <w:r w:rsidRPr="00447F3F">
        <w:rPr>
          <w:rFonts w:cstheme="minorHAnsi"/>
        </w:rPr>
        <w:t xml:space="preserve"> Président</w:t>
      </w:r>
      <w:r w:rsidR="001E5018" w:rsidRPr="00447F3F">
        <w:rPr>
          <w:rFonts w:cstheme="minorHAnsi"/>
        </w:rPr>
        <w:t>e</w:t>
      </w:r>
      <w:r w:rsidRPr="00447F3F">
        <w:rPr>
          <w:rFonts w:cstheme="minorHAnsi"/>
        </w:rPr>
        <w:t xml:space="preserve"> d</w:t>
      </w:r>
      <w:r w:rsidR="001E5018" w:rsidRPr="00447F3F">
        <w:rPr>
          <w:rFonts w:cstheme="minorHAnsi"/>
        </w:rPr>
        <w:t xml:space="preserve">e la session </w:t>
      </w:r>
      <w:r w:rsidRPr="00447F3F">
        <w:rPr>
          <w:rFonts w:cstheme="minorHAnsi"/>
        </w:rPr>
        <w:t xml:space="preserve">a donné la parole à M. Mohammed Fikrat, Président du Comité d’audit et de risques, </w:t>
      </w:r>
      <w:r w:rsidR="00743183" w:rsidRPr="00447F3F">
        <w:rPr>
          <w:rFonts w:cstheme="minorHAnsi"/>
        </w:rPr>
        <w:t>qui</w:t>
      </w:r>
      <w:r w:rsidRPr="00447F3F">
        <w:rPr>
          <w:rFonts w:cstheme="minorHAnsi"/>
        </w:rPr>
        <w:t xml:space="preserve"> </w:t>
      </w:r>
      <w:r w:rsidR="00743183" w:rsidRPr="00447F3F">
        <w:rPr>
          <w:rFonts w:cstheme="minorHAnsi"/>
        </w:rPr>
        <w:t xml:space="preserve">a </w:t>
      </w:r>
      <w:r w:rsidRPr="00447F3F">
        <w:rPr>
          <w:rFonts w:cstheme="minorHAnsi"/>
        </w:rPr>
        <w:t>présent</w:t>
      </w:r>
      <w:r w:rsidR="00743183" w:rsidRPr="00447F3F">
        <w:rPr>
          <w:rFonts w:cstheme="minorHAnsi"/>
        </w:rPr>
        <w:t>é</w:t>
      </w:r>
      <w:r w:rsidRPr="00447F3F">
        <w:rPr>
          <w:rFonts w:cstheme="minorHAnsi"/>
        </w:rPr>
        <w:t xml:space="preserve"> le rapport du Comité sur les résultats de l’audit des fonds du Compact pour la période allant du </w:t>
      </w:r>
      <w:r w:rsidR="001E5018" w:rsidRPr="00447F3F">
        <w:rPr>
          <w:rFonts w:cstheme="minorHAnsi"/>
        </w:rPr>
        <w:t>1</w:t>
      </w:r>
      <w:r w:rsidR="001E5018" w:rsidRPr="00447F3F">
        <w:rPr>
          <w:rFonts w:cstheme="minorHAnsi"/>
          <w:vertAlign w:val="superscript"/>
        </w:rPr>
        <w:t>er</w:t>
      </w:r>
      <w:r w:rsidR="001E5018" w:rsidRPr="00447F3F">
        <w:rPr>
          <w:rFonts w:cstheme="minorHAnsi"/>
        </w:rPr>
        <w:t xml:space="preserve"> octobre 2020 au 31 mars 2021</w:t>
      </w:r>
      <w:r w:rsidRPr="00447F3F">
        <w:rPr>
          <w:rFonts w:cstheme="minorHAnsi"/>
        </w:rPr>
        <w:t>.</w:t>
      </w:r>
    </w:p>
    <w:p w14:paraId="4100E42F" w14:textId="262B38D8" w:rsidR="009143D0" w:rsidRDefault="00743183" w:rsidP="009143D0">
      <w:pPr>
        <w:spacing w:after="120"/>
        <w:jc w:val="both"/>
        <w:rPr>
          <w:rFonts w:cstheme="minorHAnsi"/>
        </w:rPr>
      </w:pPr>
      <w:r w:rsidRPr="00447F3F">
        <w:rPr>
          <w:rFonts w:cstheme="minorHAnsi"/>
        </w:rPr>
        <w:t xml:space="preserve">M. Fikrat a notamment </w:t>
      </w:r>
      <w:r w:rsidR="006A2A9C" w:rsidRPr="00447F3F">
        <w:rPr>
          <w:rFonts w:cstheme="minorHAnsi"/>
        </w:rPr>
        <w:t>souligné que le rapport d’audit ne soulève aucune remarque à impact financier ou de non-conformité aux procédures ou mettant en cause l’intégrité ou la moralité des gestionnaires.</w:t>
      </w:r>
      <w:r w:rsidR="009143D0">
        <w:rPr>
          <w:rFonts w:cstheme="minorHAnsi"/>
        </w:rPr>
        <w:t xml:space="preserve"> </w:t>
      </w:r>
      <w:r w:rsidR="001E5018" w:rsidRPr="00447F3F">
        <w:rPr>
          <w:rFonts w:cstheme="minorHAnsi"/>
        </w:rPr>
        <w:t>M. Fikrat a aussi présenté les recommandations du Comité d’audit et des risque</w:t>
      </w:r>
      <w:r w:rsidR="006A2A9C" w:rsidRPr="00447F3F">
        <w:rPr>
          <w:rFonts w:cstheme="minorHAnsi"/>
        </w:rPr>
        <w:t>s</w:t>
      </w:r>
      <w:r w:rsidR="009143D0">
        <w:rPr>
          <w:rFonts w:cstheme="minorHAnsi"/>
        </w:rPr>
        <w:t>.</w:t>
      </w:r>
    </w:p>
    <w:p w14:paraId="5565832D" w14:textId="77777777" w:rsidR="009143D0" w:rsidRDefault="00207EE9" w:rsidP="006A2A9C">
      <w:pPr>
        <w:spacing w:before="120" w:after="120" w:line="240" w:lineRule="auto"/>
        <w:jc w:val="both"/>
        <w:rPr>
          <w:rFonts w:cstheme="minorHAnsi"/>
        </w:rPr>
      </w:pPr>
      <w:r w:rsidRPr="00447F3F">
        <w:rPr>
          <w:rFonts w:cstheme="minorHAnsi"/>
        </w:rPr>
        <w:t xml:space="preserve">Ensuite, Mme la Présidente de la session a donné la parole à Mme Laila Boufous, Commissaire du Gouvernement auprès de MCA-Morocco pour présenter son rapport. </w:t>
      </w:r>
    </w:p>
    <w:p w14:paraId="1F6B8A9A" w14:textId="2D51A877" w:rsidR="00A72FBC" w:rsidRPr="00447F3F" w:rsidRDefault="00A72FBC" w:rsidP="00A72FBC">
      <w:pPr>
        <w:spacing w:after="120"/>
        <w:jc w:val="both"/>
        <w:rPr>
          <w:rFonts w:cstheme="minorHAnsi"/>
        </w:rPr>
      </w:pPr>
      <w:r w:rsidRPr="00447F3F">
        <w:rPr>
          <w:rFonts w:cstheme="minorHAnsi"/>
        </w:rPr>
        <w:t>Après l</w:t>
      </w:r>
      <w:r w:rsidR="00B75DEC" w:rsidRPr="00447F3F">
        <w:rPr>
          <w:rFonts w:cstheme="minorHAnsi"/>
        </w:rPr>
        <w:t>es</w:t>
      </w:r>
      <w:r w:rsidRPr="00447F3F">
        <w:rPr>
          <w:rFonts w:cstheme="minorHAnsi"/>
        </w:rPr>
        <w:t xml:space="preserve"> présentation</w:t>
      </w:r>
      <w:r w:rsidR="00B75DEC" w:rsidRPr="00447F3F">
        <w:rPr>
          <w:rFonts w:cstheme="minorHAnsi"/>
        </w:rPr>
        <w:t>s</w:t>
      </w:r>
      <w:r w:rsidRPr="00447F3F">
        <w:rPr>
          <w:rFonts w:cstheme="minorHAnsi"/>
        </w:rPr>
        <w:t xml:space="preserve">, le président du COS a ouvert le débat. </w:t>
      </w:r>
    </w:p>
    <w:p w14:paraId="09CCF697" w14:textId="188B4EE6" w:rsidR="00D10AF7" w:rsidRPr="00447F3F" w:rsidRDefault="00D10AF7" w:rsidP="00B72598">
      <w:pPr>
        <w:spacing w:after="120"/>
        <w:jc w:val="both"/>
        <w:rPr>
          <w:rFonts w:cstheme="minorHAnsi"/>
        </w:rPr>
      </w:pPr>
      <w:r w:rsidRPr="00447F3F">
        <w:rPr>
          <w:rFonts w:cstheme="minorHAnsi"/>
        </w:rPr>
        <w:t>Au terme de cette session et après délibération, le Conseil a approuvé les résolutions suivantes :</w:t>
      </w:r>
    </w:p>
    <w:p w14:paraId="2C431AFD" w14:textId="77777777" w:rsidR="00207EE9" w:rsidRPr="00447F3F" w:rsidRDefault="00207EE9" w:rsidP="00207EE9">
      <w:pPr>
        <w:spacing w:before="120" w:after="120"/>
        <w:jc w:val="both"/>
        <w:rPr>
          <w:rFonts w:eastAsia="Calibri" w:cstheme="minorHAnsi"/>
          <w:b/>
          <w:bCs/>
          <w:color w:val="0070C0"/>
        </w:rPr>
      </w:pPr>
      <w:r w:rsidRPr="00447F3F">
        <w:rPr>
          <w:rFonts w:eastAsia="Calibri" w:cstheme="minorHAnsi"/>
          <w:b/>
          <w:bCs/>
          <w:color w:val="0070C0"/>
        </w:rPr>
        <w:t>Résolution n° 1 :</w:t>
      </w:r>
    </w:p>
    <w:p w14:paraId="256F274A" w14:textId="77777777" w:rsidR="00207EE9" w:rsidRPr="00447F3F" w:rsidRDefault="00207EE9" w:rsidP="00207EE9">
      <w:pPr>
        <w:spacing w:before="120" w:after="120"/>
        <w:jc w:val="both"/>
        <w:rPr>
          <w:rFonts w:eastAsia="Calibri" w:cstheme="minorHAnsi"/>
          <w:lang w:val="fr-MA"/>
        </w:rPr>
      </w:pPr>
      <w:r w:rsidRPr="00447F3F">
        <w:rPr>
          <w:rFonts w:eastAsia="Calibri" w:cstheme="minorHAnsi"/>
        </w:rPr>
        <w:t>Le Conseil approuve le procès-verbal de la 12</w:t>
      </w:r>
      <w:r w:rsidRPr="00447F3F">
        <w:rPr>
          <w:rFonts w:eastAsia="Calibri" w:cstheme="minorHAnsi"/>
          <w:vertAlign w:val="superscript"/>
        </w:rPr>
        <w:t>ème</w:t>
      </w:r>
      <w:r w:rsidRPr="00447F3F">
        <w:rPr>
          <w:rFonts w:eastAsia="Calibri" w:cstheme="minorHAnsi"/>
        </w:rPr>
        <w:t xml:space="preserve"> session du Conseil d’orientation stratégique (COS) de l’Agence MCA-Morocco, tenue le 23 décembre 2021.</w:t>
      </w:r>
    </w:p>
    <w:p w14:paraId="34431162" w14:textId="77777777" w:rsidR="00207EE9" w:rsidRPr="00447F3F" w:rsidRDefault="00207EE9" w:rsidP="00207EE9">
      <w:pPr>
        <w:spacing w:before="120" w:after="120"/>
        <w:jc w:val="both"/>
        <w:rPr>
          <w:rFonts w:eastAsia="Calibri" w:cstheme="minorHAnsi"/>
          <w:b/>
          <w:bCs/>
          <w:color w:val="0070C0"/>
        </w:rPr>
      </w:pPr>
      <w:r w:rsidRPr="00447F3F">
        <w:rPr>
          <w:rFonts w:eastAsia="Calibri" w:cstheme="minorHAnsi"/>
          <w:b/>
          <w:bCs/>
          <w:color w:val="0070C0"/>
        </w:rPr>
        <w:t>Résolution n° 2 :</w:t>
      </w:r>
    </w:p>
    <w:p w14:paraId="0BFEABBB" w14:textId="77777777" w:rsidR="00207EE9" w:rsidRPr="00447F3F" w:rsidRDefault="00207EE9" w:rsidP="00207EE9">
      <w:pPr>
        <w:spacing w:after="120"/>
        <w:jc w:val="both"/>
        <w:rPr>
          <w:rFonts w:eastAsia="Calibri" w:cstheme="minorHAnsi"/>
        </w:rPr>
      </w:pPr>
      <w:r w:rsidRPr="00447F3F">
        <w:rPr>
          <w:rFonts w:eastAsia="Calibri" w:cstheme="minorHAnsi"/>
        </w:rPr>
        <w:t>Le Conseil approuve le rapport sur les résultats de l’audit du programme du Compact portant sur la période du 1</w:t>
      </w:r>
      <w:r w:rsidRPr="00447F3F">
        <w:rPr>
          <w:rFonts w:eastAsia="Calibri" w:cstheme="minorHAnsi"/>
          <w:vertAlign w:val="superscript"/>
        </w:rPr>
        <w:t>er</w:t>
      </w:r>
      <w:r w:rsidRPr="00447F3F">
        <w:rPr>
          <w:rFonts w:eastAsia="Calibri" w:cstheme="minorHAnsi"/>
        </w:rPr>
        <w:t xml:space="preserve"> octobre 2020 au 31 mars 2021, ainsi que le Plan d’action correctif y afférent</w:t>
      </w:r>
      <w:r w:rsidRPr="00447F3F">
        <w:rPr>
          <w:rFonts w:cstheme="minorHAnsi"/>
        </w:rPr>
        <w:t>.</w:t>
      </w:r>
    </w:p>
    <w:p w14:paraId="440ED137" w14:textId="77777777" w:rsidR="00207EE9" w:rsidRPr="00447F3F" w:rsidRDefault="00207EE9" w:rsidP="00207EE9">
      <w:pPr>
        <w:spacing w:before="120" w:after="120"/>
        <w:jc w:val="both"/>
        <w:rPr>
          <w:rFonts w:eastAsia="Calibri" w:cstheme="minorHAnsi"/>
          <w:b/>
          <w:bCs/>
          <w:color w:val="0070C0"/>
        </w:rPr>
      </w:pPr>
      <w:r w:rsidRPr="00447F3F">
        <w:rPr>
          <w:rFonts w:eastAsia="Calibri" w:cstheme="minorHAnsi"/>
          <w:b/>
          <w:bCs/>
          <w:color w:val="0070C0"/>
        </w:rPr>
        <w:t>Résolution n° 3 :</w:t>
      </w:r>
    </w:p>
    <w:p w14:paraId="077D123C" w14:textId="77777777" w:rsidR="00207EE9" w:rsidRPr="00447F3F" w:rsidRDefault="00207EE9" w:rsidP="00207EE9">
      <w:pPr>
        <w:spacing w:after="120"/>
        <w:jc w:val="both"/>
        <w:rPr>
          <w:rFonts w:cstheme="minorHAnsi"/>
        </w:rPr>
      </w:pPr>
      <w:r w:rsidRPr="00447F3F">
        <w:rPr>
          <w:rFonts w:eastAsia="Calibri" w:cstheme="minorHAnsi"/>
        </w:rPr>
        <w:t>Le Conseil approuve le rapport d’activité de l’année 5 du Compact.</w:t>
      </w:r>
    </w:p>
    <w:p w14:paraId="643146CF" w14:textId="77777777" w:rsidR="00207EE9" w:rsidRPr="00447F3F" w:rsidRDefault="00207EE9" w:rsidP="00207EE9">
      <w:pPr>
        <w:spacing w:after="120"/>
        <w:jc w:val="both"/>
        <w:rPr>
          <w:rFonts w:eastAsia="Calibri" w:cstheme="minorHAnsi"/>
          <w:b/>
          <w:bCs/>
          <w:color w:val="0070C0"/>
        </w:rPr>
      </w:pPr>
      <w:r w:rsidRPr="00447F3F">
        <w:rPr>
          <w:rFonts w:eastAsia="Calibri" w:cstheme="minorHAnsi"/>
          <w:b/>
          <w:bCs/>
          <w:color w:val="0070C0"/>
        </w:rPr>
        <w:t>Résolution n° 4 :</w:t>
      </w:r>
    </w:p>
    <w:p w14:paraId="51766A2F" w14:textId="77777777" w:rsidR="00207EE9" w:rsidRPr="00447F3F" w:rsidRDefault="00207EE9" w:rsidP="00207EE9">
      <w:pPr>
        <w:spacing w:after="120"/>
        <w:jc w:val="both"/>
        <w:rPr>
          <w:rFonts w:eastAsia="Calibri" w:cstheme="minorHAnsi"/>
        </w:rPr>
      </w:pPr>
      <w:r w:rsidRPr="00447F3F">
        <w:rPr>
          <w:rFonts w:eastAsia="Calibri" w:cstheme="minorHAnsi"/>
        </w:rPr>
        <w:t>Le Conseil approuve le Programme de passation de marchés de l’Agence mis à jour.</w:t>
      </w:r>
    </w:p>
    <w:p w14:paraId="46D477FF" w14:textId="77777777" w:rsidR="00207EE9" w:rsidRPr="00447F3F" w:rsidRDefault="00207EE9" w:rsidP="00207EE9">
      <w:pPr>
        <w:spacing w:before="120" w:after="120"/>
        <w:jc w:val="both"/>
        <w:rPr>
          <w:rFonts w:eastAsia="Calibri" w:cstheme="minorHAnsi"/>
          <w:b/>
          <w:bCs/>
          <w:color w:val="0070C0"/>
        </w:rPr>
      </w:pPr>
      <w:r w:rsidRPr="00447F3F">
        <w:rPr>
          <w:rFonts w:eastAsia="Calibri" w:cstheme="minorHAnsi"/>
          <w:b/>
          <w:bCs/>
          <w:color w:val="0070C0"/>
        </w:rPr>
        <w:t>Résolution n° 5 :</w:t>
      </w:r>
    </w:p>
    <w:p w14:paraId="600C5331" w14:textId="77777777" w:rsidR="00207EE9" w:rsidRPr="00447F3F" w:rsidRDefault="00207EE9" w:rsidP="00207EE9">
      <w:pPr>
        <w:spacing w:after="120"/>
        <w:jc w:val="both"/>
        <w:rPr>
          <w:rFonts w:eastAsia="Calibri" w:cstheme="minorHAnsi"/>
        </w:rPr>
      </w:pPr>
      <w:r w:rsidRPr="00447F3F">
        <w:rPr>
          <w:rFonts w:eastAsia="Calibri" w:cstheme="minorHAnsi"/>
        </w:rPr>
        <w:t>Le Conseil approuve les avenants aux contrats suivants :</w:t>
      </w:r>
    </w:p>
    <w:p w14:paraId="53E06BAC" w14:textId="77777777" w:rsidR="00207EE9" w:rsidRPr="00447F3F" w:rsidRDefault="00207EE9" w:rsidP="00207EE9">
      <w:pPr>
        <w:pStyle w:val="Paragraphedeliste"/>
        <w:numPr>
          <w:ilvl w:val="0"/>
          <w:numId w:val="13"/>
        </w:numPr>
        <w:spacing w:after="120" w:line="240" w:lineRule="auto"/>
        <w:jc w:val="both"/>
        <w:rPr>
          <w:rFonts w:eastAsia="Calibri" w:cstheme="minorHAnsi"/>
        </w:rPr>
      </w:pPr>
      <w:r w:rsidRPr="00447F3F">
        <w:rPr>
          <w:rFonts w:eastAsia="Calibri" w:cstheme="minorHAnsi"/>
        </w:rPr>
        <w:t>Avenant n° 8 au contrat ES-49-Lo1 ;</w:t>
      </w:r>
    </w:p>
    <w:p w14:paraId="638F7C66" w14:textId="77777777" w:rsidR="00207EE9" w:rsidRPr="00447F3F" w:rsidRDefault="00207EE9" w:rsidP="00207EE9">
      <w:pPr>
        <w:pStyle w:val="Paragraphedeliste"/>
        <w:numPr>
          <w:ilvl w:val="0"/>
          <w:numId w:val="13"/>
        </w:numPr>
        <w:spacing w:after="120" w:line="240" w:lineRule="auto"/>
        <w:jc w:val="both"/>
        <w:rPr>
          <w:rFonts w:eastAsia="Calibri" w:cstheme="minorHAnsi"/>
        </w:rPr>
      </w:pPr>
      <w:r w:rsidRPr="00447F3F">
        <w:rPr>
          <w:rFonts w:eastAsia="Calibri" w:cstheme="minorHAnsi"/>
        </w:rPr>
        <w:t>Avenant 1 au contrat ME-08R Lot 1 ;</w:t>
      </w:r>
    </w:p>
    <w:p w14:paraId="12A449DF" w14:textId="77777777" w:rsidR="00207EE9" w:rsidRPr="00447F3F" w:rsidRDefault="00207EE9" w:rsidP="00207EE9">
      <w:pPr>
        <w:pStyle w:val="Paragraphedeliste"/>
        <w:numPr>
          <w:ilvl w:val="0"/>
          <w:numId w:val="13"/>
        </w:numPr>
        <w:spacing w:after="120" w:line="240" w:lineRule="auto"/>
        <w:jc w:val="both"/>
        <w:rPr>
          <w:rFonts w:eastAsia="Calibri" w:cstheme="minorHAnsi"/>
        </w:rPr>
      </w:pPr>
      <w:r w:rsidRPr="00447F3F">
        <w:rPr>
          <w:rFonts w:cstheme="minorHAnsi"/>
          <w:lang w:val="fr-MA"/>
        </w:rPr>
        <w:t>Avenant n° 2 au Contrat n° EW-39-E-7.2</w:t>
      </w:r>
      <w:r w:rsidRPr="00447F3F">
        <w:rPr>
          <w:rFonts w:eastAsia="Calibri" w:cstheme="minorHAnsi"/>
        </w:rPr>
        <w:t>.</w:t>
      </w:r>
    </w:p>
    <w:p w14:paraId="43B2AA4E" w14:textId="77777777" w:rsidR="00207EE9" w:rsidRPr="00447F3F" w:rsidRDefault="00207EE9" w:rsidP="00207EE9">
      <w:pPr>
        <w:spacing w:before="120" w:after="120"/>
        <w:jc w:val="both"/>
        <w:rPr>
          <w:rFonts w:eastAsia="Calibri" w:cstheme="minorHAnsi"/>
          <w:b/>
          <w:bCs/>
          <w:color w:val="0070C0"/>
        </w:rPr>
      </w:pPr>
      <w:bookmarkStart w:id="0" w:name="_Hlk121492238"/>
      <w:r w:rsidRPr="00447F3F">
        <w:rPr>
          <w:rFonts w:eastAsia="Calibri" w:cstheme="minorHAnsi"/>
          <w:b/>
          <w:bCs/>
          <w:color w:val="0070C0"/>
        </w:rPr>
        <w:t>Résolution n° 6 :</w:t>
      </w:r>
    </w:p>
    <w:p w14:paraId="383C5850" w14:textId="77777777" w:rsidR="00207EE9" w:rsidRPr="00447F3F" w:rsidRDefault="00207EE9" w:rsidP="00207EE9">
      <w:pPr>
        <w:spacing w:after="120"/>
        <w:jc w:val="both"/>
        <w:rPr>
          <w:rFonts w:eastAsia="Calibri" w:cstheme="minorHAnsi"/>
        </w:rPr>
      </w:pPr>
      <w:r w:rsidRPr="00447F3F">
        <w:rPr>
          <w:rFonts w:eastAsia="Calibri" w:cstheme="minorHAnsi"/>
        </w:rPr>
        <w:t>Le COS approuve la réallocation d’un montant de 2.05 millions USD au profit de l’activité « Education Secondaire ».</w:t>
      </w:r>
      <w:bookmarkEnd w:id="0"/>
      <w:r w:rsidRPr="00447F3F">
        <w:rPr>
          <w:rFonts w:eastAsia="Calibri" w:cstheme="minorHAnsi"/>
        </w:rPr>
        <w:t xml:space="preserve"> </w:t>
      </w:r>
    </w:p>
    <w:p w14:paraId="7E14D711" w14:textId="29362E9E" w:rsidR="00207EE9" w:rsidRPr="00447F3F" w:rsidRDefault="00207EE9" w:rsidP="00207EE9">
      <w:pPr>
        <w:spacing w:after="120"/>
        <w:jc w:val="both"/>
        <w:rPr>
          <w:rFonts w:eastAsia="Calibri" w:cstheme="minorHAnsi"/>
        </w:rPr>
      </w:pPr>
      <w:r w:rsidRPr="00447F3F">
        <w:rPr>
          <w:rFonts w:eastAsia="Calibri" w:cstheme="minorHAnsi"/>
        </w:rPr>
        <w:t>Le COS approuve la réallocation d’un montant de 1.3 millions USD au profit de l’activité « Développement du Capital Humain ».</w:t>
      </w:r>
    </w:p>
    <w:p w14:paraId="6694125F" w14:textId="43796617" w:rsidR="00207EE9" w:rsidRPr="00447F3F" w:rsidRDefault="00207EE9" w:rsidP="00207EE9">
      <w:pPr>
        <w:spacing w:before="120" w:after="120"/>
        <w:jc w:val="both"/>
        <w:rPr>
          <w:rFonts w:eastAsia="Calibri" w:cstheme="minorHAnsi"/>
          <w:b/>
          <w:bCs/>
          <w:color w:val="0070C0"/>
        </w:rPr>
      </w:pPr>
      <w:r w:rsidRPr="00447F3F">
        <w:rPr>
          <w:rFonts w:eastAsia="Calibri" w:cstheme="minorHAnsi"/>
          <w:b/>
          <w:bCs/>
          <w:color w:val="0070C0"/>
        </w:rPr>
        <w:t>Résolution n° 7 :</w:t>
      </w:r>
    </w:p>
    <w:p w14:paraId="74C1FF41" w14:textId="69328EFB" w:rsidR="00447F3F" w:rsidRPr="00447F3F" w:rsidRDefault="00207EE9" w:rsidP="00207EE9">
      <w:pPr>
        <w:spacing w:after="120"/>
        <w:jc w:val="both"/>
        <w:rPr>
          <w:rFonts w:eastAsia="Calibri" w:cstheme="minorHAnsi"/>
        </w:rPr>
      </w:pPr>
      <w:r w:rsidRPr="00447F3F">
        <w:rPr>
          <w:rFonts w:eastAsia="Calibri" w:cstheme="minorHAnsi"/>
        </w:rPr>
        <w:t>Le COS délègue à la Directrice générale de l</w:t>
      </w:r>
      <w:r w:rsidR="00447F3F" w:rsidRPr="00447F3F">
        <w:rPr>
          <w:rFonts w:eastAsia="Calibri" w:cstheme="minorHAnsi"/>
        </w:rPr>
        <w:t>’Agence l’approbation des réallocations du budget entre les différents projets, activités et composantes, en fonction des besoins, après approbation de MCC.</w:t>
      </w:r>
    </w:p>
    <w:p w14:paraId="5D520635" w14:textId="2E2E0447" w:rsidR="001D4419" w:rsidRPr="00447F3F" w:rsidRDefault="00F20D5B" w:rsidP="006A2A9C">
      <w:pPr>
        <w:jc w:val="right"/>
        <w:rPr>
          <w:rFonts w:cstheme="minorHAnsi"/>
        </w:rPr>
      </w:pPr>
      <w:r w:rsidRPr="00447F3F">
        <w:rPr>
          <w:rFonts w:cstheme="minorHAnsi"/>
        </w:rPr>
        <w:t xml:space="preserve">La réunion du Conseil a été levée </w:t>
      </w:r>
      <w:r w:rsidR="00794DF3" w:rsidRPr="00447F3F">
        <w:rPr>
          <w:rFonts w:cstheme="minorHAnsi"/>
        </w:rPr>
        <w:t>vers 1</w:t>
      </w:r>
      <w:r w:rsidR="00447F3F" w:rsidRPr="00447F3F">
        <w:rPr>
          <w:rFonts w:cstheme="minorHAnsi"/>
        </w:rPr>
        <w:t>0</w:t>
      </w:r>
      <w:r w:rsidR="00794DF3" w:rsidRPr="00447F3F">
        <w:rPr>
          <w:rFonts w:cstheme="minorHAnsi"/>
        </w:rPr>
        <w:t>h</w:t>
      </w:r>
      <w:r w:rsidR="00447F3F" w:rsidRPr="00447F3F">
        <w:rPr>
          <w:rFonts w:cstheme="minorHAnsi"/>
        </w:rPr>
        <w:t>3</w:t>
      </w:r>
      <w:r w:rsidR="00B63BB9" w:rsidRPr="00447F3F">
        <w:rPr>
          <w:rFonts w:cstheme="minorHAnsi"/>
        </w:rPr>
        <w:t>0</w:t>
      </w:r>
      <w:r w:rsidRPr="00447F3F">
        <w:rPr>
          <w:rFonts w:cstheme="minorHAnsi"/>
        </w:rPr>
        <w:t>.</w:t>
      </w:r>
    </w:p>
    <w:sectPr w:rsidR="001D4419" w:rsidRPr="00447F3F" w:rsidSect="00FD6597">
      <w:pgSz w:w="11906" w:h="16838"/>
      <w:pgMar w:top="1134" w:right="1417" w:bottom="1276" w:left="1417" w:header="142"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DA3D" w14:textId="77777777" w:rsidR="0079789F" w:rsidRDefault="0079789F" w:rsidP="006E4A3C">
      <w:pPr>
        <w:spacing w:after="0" w:line="240" w:lineRule="auto"/>
      </w:pPr>
      <w:r>
        <w:separator/>
      </w:r>
    </w:p>
  </w:endnote>
  <w:endnote w:type="continuationSeparator" w:id="0">
    <w:p w14:paraId="4C98E76F" w14:textId="77777777" w:rsidR="0079789F" w:rsidRDefault="0079789F" w:rsidP="006E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71207"/>
      <w:docPartObj>
        <w:docPartGallery w:val="Page Numbers (Bottom of Page)"/>
        <w:docPartUnique/>
      </w:docPartObj>
    </w:sdtPr>
    <w:sdtContent>
      <w:p w14:paraId="73BB88C5" w14:textId="4326E340" w:rsidR="009F14CE" w:rsidRDefault="009F14CE">
        <w:pPr>
          <w:pStyle w:val="Pieddepage"/>
          <w:jc w:val="right"/>
        </w:pPr>
        <w:r>
          <w:fldChar w:fldCharType="begin"/>
        </w:r>
        <w:r>
          <w:instrText>PAGE   \* MERGEFORMAT</w:instrText>
        </w:r>
        <w:r>
          <w:fldChar w:fldCharType="separate"/>
        </w:r>
        <w:r w:rsidR="00021301">
          <w:rPr>
            <w:noProof/>
          </w:rPr>
          <w:t>2</w:t>
        </w:r>
        <w:r>
          <w:fldChar w:fldCharType="end"/>
        </w:r>
      </w:p>
    </w:sdtContent>
  </w:sdt>
  <w:p w14:paraId="419894AC" w14:textId="77777777" w:rsidR="00C00F4C" w:rsidRDefault="00C00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2DF2" w14:textId="77777777" w:rsidR="0079789F" w:rsidRDefault="0079789F" w:rsidP="006E4A3C">
      <w:pPr>
        <w:spacing w:after="0" w:line="240" w:lineRule="auto"/>
      </w:pPr>
      <w:r>
        <w:separator/>
      </w:r>
    </w:p>
  </w:footnote>
  <w:footnote w:type="continuationSeparator" w:id="0">
    <w:p w14:paraId="3FE298AE" w14:textId="77777777" w:rsidR="0079789F" w:rsidRDefault="0079789F" w:rsidP="006E4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32C"/>
    <w:multiLevelType w:val="hybridMultilevel"/>
    <w:tmpl w:val="DF2AE894"/>
    <w:lvl w:ilvl="0" w:tplc="092E9C14">
      <w:start w:val="1"/>
      <w:numFmt w:val="bullet"/>
      <w:lvlText w:val="-"/>
      <w:lvlJc w:val="left"/>
      <w:pPr>
        <w:tabs>
          <w:tab w:val="num" w:pos="720"/>
        </w:tabs>
        <w:ind w:left="720" w:hanging="360"/>
      </w:pPr>
      <w:rPr>
        <w:rFonts w:ascii="Calibri" w:hAnsi="Calibri" w:hint="default"/>
      </w:rPr>
    </w:lvl>
    <w:lvl w:ilvl="1" w:tplc="52168592">
      <w:start w:val="1"/>
      <w:numFmt w:val="bullet"/>
      <w:lvlText w:val="-"/>
      <w:lvlJc w:val="left"/>
      <w:pPr>
        <w:tabs>
          <w:tab w:val="num" w:pos="1440"/>
        </w:tabs>
        <w:ind w:left="1440" w:hanging="360"/>
      </w:pPr>
      <w:rPr>
        <w:rFonts w:ascii="Calibri" w:hAnsi="Calibri" w:hint="default"/>
      </w:rPr>
    </w:lvl>
    <w:lvl w:ilvl="2" w:tplc="CAACAB34" w:tentative="1">
      <w:start w:val="1"/>
      <w:numFmt w:val="bullet"/>
      <w:lvlText w:val="-"/>
      <w:lvlJc w:val="left"/>
      <w:pPr>
        <w:tabs>
          <w:tab w:val="num" w:pos="2160"/>
        </w:tabs>
        <w:ind w:left="2160" w:hanging="360"/>
      </w:pPr>
      <w:rPr>
        <w:rFonts w:ascii="Calibri" w:hAnsi="Calibri" w:hint="default"/>
      </w:rPr>
    </w:lvl>
    <w:lvl w:ilvl="3" w:tplc="6D9425A2" w:tentative="1">
      <w:start w:val="1"/>
      <w:numFmt w:val="bullet"/>
      <w:lvlText w:val="-"/>
      <w:lvlJc w:val="left"/>
      <w:pPr>
        <w:tabs>
          <w:tab w:val="num" w:pos="2880"/>
        </w:tabs>
        <w:ind w:left="2880" w:hanging="360"/>
      </w:pPr>
      <w:rPr>
        <w:rFonts w:ascii="Calibri" w:hAnsi="Calibri" w:hint="default"/>
      </w:rPr>
    </w:lvl>
    <w:lvl w:ilvl="4" w:tplc="37B22772" w:tentative="1">
      <w:start w:val="1"/>
      <w:numFmt w:val="bullet"/>
      <w:lvlText w:val="-"/>
      <w:lvlJc w:val="left"/>
      <w:pPr>
        <w:tabs>
          <w:tab w:val="num" w:pos="3600"/>
        </w:tabs>
        <w:ind w:left="3600" w:hanging="360"/>
      </w:pPr>
      <w:rPr>
        <w:rFonts w:ascii="Calibri" w:hAnsi="Calibri" w:hint="default"/>
      </w:rPr>
    </w:lvl>
    <w:lvl w:ilvl="5" w:tplc="82D4A630" w:tentative="1">
      <w:start w:val="1"/>
      <w:numFmt w:val="bullet"/>
      <w:lvlText w:val="-"/>
      <w:lvlJc w:val="left"/>
      <w:pPr>
        <w:tabs>
          <w:tab w:val="num" w:pos="4320"/>
        </w:tabs>
        <w:ind w:left="4320" w:hanging="360"/>
      </w:pPr>
      <w:rPr>
        <w:rFonts w:ascii="Calibri" w:hAnsi="Calibri" w:hint="default"/>
      </w:rPr>
    </w:lvl>
    <w:lvl w:ilvl="6" w:tplc="2A94C488" w:tentative="1">
      <w:start w:val="1"/>
      <w:numFmt w:val="bullet"/>
      <w:lvlText w:val="-"/>
      <w:lvlJc w:val="left"/>
      <w:pPr>
        <w:tabs>
          <w:tab w:val="num" w:pos="5040"/>
        </w:tabs>
        <w:ind w:left="5040" w:hanging="360"/>
      </w:pPr>
      <w:rPr>
        <w:rFonts w:ascii="Calibri" w:hAnsi="Calibri" w:hint="default"/>
      </w:rPr>
    </w:lvl>
    <w:lvl w:ilvl="7" w:tplc="24AAF002" w:tentative="1">
      <w:start w:val="1"/>
      <w:numFmt w:val="bullet"/>
      <w:lvlText w:val="-"/>
      <w:lvlJc w:val="left"/>
      <w:pPr>
        <w:tabs>
          <w:tab w:val="num" w:pos="5760"/>
        </w:tabs>
        <w:ind w:left="5760" w:hanging="360"/>
      </w:pPr>
      <w:rPr>
        <w:rFonts w:ascii="Calibri" w:hAnsi="Calibri" w:hint="default"/>
      </w:rPr>
    </w:lvl>
    <w:lvl w:ilvl="8" w:tplc="342E19E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E7C7033"/>
    <w:multiLevelType w:val="hybridMultilevel"/>
    <w:tmpl w:val="366079F8"/>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52A7C"/>
    <w:multiLevelType w:val="hybridMultilevel"/>
    <w:tmpl w:val="195A0C70"/>
    <w:lvl w:ilvl="0" w:tplc="281E5F82">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DE4A96"/>
    <w:multiLevelType w:val="hybridMultilevel"/>
    <w:tmpl w:val="63C8853E"/>
    <w:lvl w:ilvl="0" w:tplc="9420FD0E">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FE1974"/>
    <w:multiLevelType w:val="multilevel"/>
    <w:tmpl w:val="D4F0AD62"/>
    <w:lvl w:ilvl="0">
      <w:start w:val="1"/>
      <w:numFmt w:val="bullet"/>
      <w:lvlText w:val=""/>
      <w:lvlJc w:val="left"/>
      <w:pPr>
        <w:tabs>
          <w:tab w:val="num" w:pos="720"/>
        </w:tabs>
        <w:ind w:left="720" w:hanging="360"/>
      </w:pPr>
      <w:rPr>
        <w:rFonts w:ascii="Symbol" w:hAnsi="Symbol" w:hint="default"/>
        <w:sz w:val="20"/>
      </w:rPr>
    </w:lvl>
    <w:lvl w:ilvl="1">
      <w:start w:val="168"/>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52742"/>
    <w:multiLevelType w:val="hybridMultilevel"/>
    <w:tmpl w:val="716C9D22"/>
    <w:lvl w:ilvl="0" w:tplc="88105B84">
      <w:start w:val="1"/>
      <w:numFmt w:val="bullet"/>
      <w:lvlText w:val=""/>
      <w:lvlJc w:val="left"/>
      <w:pPr>
        <w:tabs>
          <w:tab w:val="num" w:pos="720"/>
        </w:tabs>
        <w:ind w:left="720" w:hanging="360"/>
      </w:pPr>
      <w:rPr>
        <w:rFonts w:ascii="Wingdings" w:hAnsi="Wingdings" w:hint="default"/>
      </w:rPr>
    </w:lvl>
    <w:lvl w:ilvl="1" w:tplc="6CE4FC8C">
      <w:start w:val="1"/>
      <w:numFmt w:val="bullet"/>
      <w:lvlText w:val=""/>
      <w:lvlJc w:val="left"/>
      <w:pPr>
        <w:tabs>
          <w:tab w:val="num" w:pos="1440"/>
        </w:tabs>
        <w:ind w:left="1440" w:hanging="360"/>
      </w:pPr>
      <w:rPr>
        <w:rFonts w:ascii="Wingdings" w:hAnsi="Wingdings" w:hint="default"/>
      </w:rPr>
    </w:lvl>
    <w:lvl w:ilvl="2" w:tplc="17486E62" w:tentative="1">
      <w:start w:val="1"/>
      <w:numFmt w:val="bullet"/>
      <w:lvlText w:val=""/>
      <w:lvlJc w:val="left"/>
      <w:pPr>
        <w:tabs>
          <w:tab w:val="num" w:pos="2160"/>
        </w:tabs>
        <w:ind w:left="2160" w:hanging="360"/>
      </w:pPr>
      <w:rPr>
        <w:rFonts w:ascii="Wingdings" w:hAnsi="Wingdings" w:hint="default"/>
      </w:rPr>
    </w:lvl>
    <w:lvl w:ilvl="3" w:tplc="37D693AC" w:tentative="1">
      <w:start w:val="1"/>
      <w:numFmt w:val="bullet"/>
      <w:lvlText w:val=""/>
      <w:lvlJc w:val="left"/>
      <w:pPr>
        <w:tabs>
          <w:tab w:val="num" w:pos="2880"/>
        </w:tabs>
        <w:ind w:left="2880" w:hanging="360"/>
      </w:pPr>
      <w:rPr>
        <w:rFonts w:ascii="Wingdings" w:hAnsi="Wingdings" w:hint="default"/>
      </w:rPr>
    </w:lvl>
    <w:lvl w:ilvl="4" w:tplc="D72C51CE" w:tentative="1">
      <w:start w:val="1"/>
      <w:numFmt w:val="bullet"/>
      <w:lvlText w:val=""/>
      <w:lvlJc w:val="left"/>
      <w:pPr>
        <w:tabs>
          <w:tab w:val="num" w:pos="3600"/>
        </w:tabs>
        <w:ind w:left="3600" w:hanging="360"/>
      </w:pPr>
      <w:rPr>
        <w:rFonts w:ascii="Wingdings" w:hAnsi="Wingdings" w:hint="default"/>
      </w:rPr>
    </w:lvl>
    <w:lvl w:ilvl="5" w:tplc="E43C741E" w:tentative="1">
      <w:start w:val="1"/>
      <w:numFmt w:val="bullet"/>
      <w:lvlText w:val=""/>
      <w:lvlJc w:val="left"/>
      <w:pPr>
        <w:tabs>
          <w:tab w:val="num" w:pos="4320"/>
        </w:tabs>
        <w:ind w:left="4320" w:hanging="360"/>
      </w:pPr>
      <w:rPr>
        <w:rFonts w:ascii="Wingdings" w:hAnsi="Wingdings" w:hint="default"/>
      </w:rPr>
    </w:lvl>
    <w:lvl w:ilvl="6" w:tplc="FBEC4668" w:tentative="1">
      <w:start w:val="1"/>
      <w:numFmt w:val="bullet"/>
      <w:lvlText w:val=""/>
      <w:lvlJc w:val="left"/>
      <w:pPr>
        <w:tabs>
          <w:tab w:val="num" w:pos="5040"/>
        </w:tabs>
        <w:ind w:left="5040" w:hanging="360"/>
      </w:pPr>
      <w:rPr>
        <w:rFonts w:ascii="Wingdings" w:hAnsi="Wingdings" w:hint="default"/>
      </w:rPr>
    </w:lvl>
    <w:lvl w:ilvl="7" w:tplc="8312AE0A" w:tentative="1">
      <w:start w:val="1"/>
      <w:numFmt w:val="bullet"/>
      <w:lvlText w:val=""/>
      <w:lvlJc w:val="left"/>
      <w:pPr>
        <w:tabs>
          <w:tab w:val="num" w:pos="5760"/>
        </w:tabs>
        <w:ind w:left="5760" w:hanging="360"/>
      </w:pPr>
      <w:rPr>
        <w:rFonts w:ascii="Wingdings" w:hAnsi="Wingdings" w:hint="default"/>
      </w:rPr>
    </w:lvl>
    <w:lvl w:ilvl="8" w:tplc="5A9467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17635"/>
    <w:multiLevelType w:val="hybridMultilevel"/>
    <w:tmpl w:val="3F4A6C28"/>
    <w:lvl w:ilvl="0" w:tplc="39B66B4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4322F8"/>
    <w:multiLevelType w:val="hybridMultilevel"/>
    <w:tmpl w:val="EF5643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FD677B"/>
    <w:multiLevelType w:val="hybridMultilevel"/>
    <w:tmpl w:val="66842DF2"/>
    <w:lvl w:ilvl="0" w:tplc="250EE86E">
      <w:start w:val="1"/>
      <w:numFmt w:val="bullet"/>
      <w:lvlText w:val=""/>
      <w:lvlJc w:val="left"/>
      <w:pPr>
        <w:tabs>
          <w:tab w:val="num" w:pos="720"/>
        </w:tabs>
        <w:ind w:left="720" w:hanging="360"/>
      </w:pPr>
      <w:rPr>
        <w:rFonts w:ascii="Wingdings" w:hAnsi="Wingdings" w:hint="default"/>
      </w:rPr>
    </w:lvl>
    <w:lvl w:ilvl="1" w:tplc="5C50D300">
      <w:start w:val="1"/>
      <w:numFmt w:val="bullet"/>
      <w:lvlText w:val=""/>
      <w:lvlJc w:val="left"/>
      <w:pPr>
        <w:tabs>
          <w:tab w:val="num" w:pos="1440"/>
        </w:tabs>
        <w:ind w:left="1440" w:hanging="360"/>
      </w:pPr>
      <w:rPr>
        <w:rFonts w:ascii="Wingdings" w:hAnsi="Wingdings" w:hint="default"/>
      </w:rPr>
    </w:lvl>
    <w:lvl w:ilvl="2" w:tplc="43209912" w:tentative="1">
      <w:start w:val="1"/>
      <w:numFmt w:val="bullet"/>
      <w:lvlText w:val=""/>
      <w:lvlJc w:val="left"/>
      <w:pPr>
        <w:tabs>
          <w:tab w:val="num" w:pos="2160"/>
        </w:tabs>
        <w:ind w:left="2160" w:hanging="360"/>
      </w:pPr>
      <w:rPr>
        <w:rFonts w:ascii="Wingdings" w:hAnsi="Wingdings" w:hint="default"/>
      </w:rPr>
    </w:lvl>
    <w:lvl w:ilvl="3" w:tplc="F20E81CE" w:tentative="1">
      <w:start w:val="1"/>
      <w:numFmt w:val="bullet"/>
      <w:lvlText w:val=""/>
      <w:lvlJc w:val="left"/>
      <w:pPr>
        <w:tabs>
          <w:tab w:val="num" w:pos="2880"/>
        </w:tabs>
        <w:ind w:left="2880" w:hanging="360"/>
      </w:pPr>
      <w:rPr>
        <w:rFonts w:ascii="Wingdings" w:hAnsi="Wingdings" w:hint="default"/>
      </w:rPr>
    </w:lvl>
    <w:lvl w:ilvl="4" w:tplc="2F289CBE" w:tentative="1">
      <w:start w:val="1"/>
      <w:numFmt w:val="bullet"/>
      <w:lvlText w:val=""/>
      <w:lvlJc w:val="left"/>
      <w:pPr>
        <w:tabs>
          <w:tab w:val="num" w:pos="3600"/>
        </w:tabs>
        <w:ind w:left="3600" w:hanging="360"/>
      </w:pPr>
      <w:rPr>
        <w:rFonts w:ascii="Wingdings" w:hAnsi="Wingdings" w:hint="default"/>
      </w:rPr>
    </w:lvl>
    <w:lvl w:ilvl="5" w:tplc="BEC40EA2" w:tentative="1">
      <w:start w:val="1"/>
      <w:numFmt w:val="bullet"/>
      <w:lvlText w:val=""/>
      <w:lvlJc w:val="left"/>
      <w:pPr>
        <w:tabs>
          <w:tab w:val="num" w:pos="4320"/>
        </w:tabs>
        <w:ind w:left="4320" w:hanging="360"/>
      </w:pPr>
      <w:rPr>
        <w:rFonts w:ascii="Wingdings" w:hAnsi="Wingdings" w:hint="default"/>
      </w:rPr>
    </w:lvl>
    <w:lvl w:ilvl="6" w:tplc="D9D8EFD4" w:tentative="1">
      <w:start w:val="1"/>
      <w:numFmt w:val="bullet"/>
      <w:lvlText w:val=""/>
      <w:lvlJc w:val="left"/>
      <w:pPr>
        <w:tabs>
          <w:tab w:val="num" w:pos="5040"/>
        </w:tabs>
        <w:ind w:left="5040" w:hanging="360"/>
      </w:pPr>
      <w:rPr>
        <w:rFonts w:ascii="Wingdings" w:hAnsi="Wingdings" w:hint="default"/>
      </w:rPr>
    </w:lvl>
    <w:lvl w:ilvl="7" w:tplc="60BA2C34" w:tentative="1">
      <w:start w:val="1"/>
      <w:numFmt w:val="bullet"/>
      <w:lvlText w:val=""/>
      <w:lvlJc w:val="left"/>
      <w:pPr>
        <w:tabs>
          <w:tab w:val="num" w:pos="5760"/>
        </w:tabs>
        <w:ind w:left="5760" w:hanging="360"/>
      </w:pPr>
      <w:rPr>
        <w:rFonts w:ascii="Wingdings" w:hAnsi="Wingdings" w:hint="default"/>
      </w:rPr>
    </w:lvl>
    <w:lvl w:ilvl="8" w:tplc="3ED602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C0605"/>
    <w:multiLevelType w:val="multilevel"/>
    <w:tmpl w:val="46C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6330F"/>
    <w:multiLevelType w:val="hybridMultilevel"/>
    <w:tmpl w:val="1BDC4306"/>
    <w:lvl w:ilvl="0" w:tplc="F9E8BAB0">
      <w:start w:val="1"/>
      <w:numFmt w:val="bullet"/>
      <w:lvlText w:val="-"/>
      <w:lvlJc w:val="left"/>
      <w:pPr>
        <w:ind w:left="720" w:hanging="360"/>
      </w:pPr>
      <w:rPr>
        <w:rFonts w:ascii="Verdana" w:hAnsi="Verdana" w:hint="default"/>
        <w:b/>
        <w:bCs/>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5B02CA"/>
    <w:multiLevelType w:val="hybridMultilevel"/>
    <w:tmpl w:val="5F86FFB0"/>
    <w:lvl w:ilvl="0" w:tplc="9420FD0E">
      <w:numFmt w:val="bullet"/>
      <w:lvlText w:val="-"/>
      <w:lvlJc w:val="left"/>
      <w:pPr>
        <w:ind w:left="720" w:hanging="360"/>
      </w:pPr>
      <w:rPr>
        <w:rFonts w:ascii="Arial" w:hAnsi="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5BC27330"/>
    <w:multiLevelType w:val="hybridMultilevel"/>
    <w:tmpl w:val="8B8620DE"/>
    <w:lvl w:ilvl="0" w:tplc="61461F1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6B3307"/>
    <w:multiLevelType w:val="hybridMultilevel"/>
    <w:tmpl w:val="B294669C"/>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2050FC"/>
    <w:multiLevelType w:val="hybridMultilevel"/>
    <w:tmpl w:val="55D8CA7C"/>
    <w:lvl w:ilvl="0" w:tplc="009229BC">
      <w:start w:val="1"/>
      <w:numFmt w:val="decimal"/>
      <w:lvlText w:val="%1."/>
      <w:lvlJc w:val="left"/>
      <w:pPr>
        <w:ind w:left="720" w:hanging="360"/>
      </w:pPr>
      <w:rPr>
        <w:rFonts w:hint="default"/>
        <w:b/>
        <w:bCs/>
        <w:color w:val="auto"/>
        <w:sz w:val="22"/>
        <w:szCs w:val="22"/>
      </w:rPr>
    </w:lvl>
    <w:lvl w:ilvl="1" w:tplc="43D47C9A">
      <w:start w:val="1"/>
      <w:numFmt w:val="bullet"/>
      <w:lvlText w:val="-"/>
      <w:lvlJc w:val="left"/>
      <w:pPr>
        <w:ind w:left="1440" w:hanging="360"/>
      </w:pPr>
      <w:rPr>
        <w:rFonts w:ascii="Calibri" w:eastAsiaTheme="minorHAnsi" w:hAnsi="Calibri" w:cs="Calibri" w:hint="default"/>
        <w:b w:val="0"/>
        <w:bCs/>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770654"/>
    <w:multiLevelType w:val="hybridMultilevel"/>
    <w:tmpl w:val="94A4D1D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D0590"/>
    <w:multiLevelType w:val="hybridMultilevel"/>
    <w:tmpl w:val="12FA62D8"/>
    <w:lvl w:ilvl="0" w:tplc="009229BC">
      <w:start w:val="1"/>
      <w:numFmt w:val="decimal"/>
      <w:lvlText w:val="%1."/>
      <w:lvlJc w:val="left"/>
      <w:pPr>
        <w:ind w:left="720" w:hanging="360"/>
      </w:pPr>
      <w:rPr>
        <w:rFonts w:hint="default"/>
        <w:b/>
        <w:bCs/>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C77B67"/>
    <w:multiLevelType w:val="hybridMultilevel"/>
    <w:tmpl w:val="A07669BC"/>
    <w:lvl w:ilvl="0" w:tplc="934E888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00120D"/>
    <w:multiLevelType w:val="hybridMultilevel"/>
    <w:tmpl w:val="7506E0BA"/>
    <w:lvl w:ilvl="0" w:tplc="E2D230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C830D97"/>
    <w:multiLevelType w:val="hybridMultilevel"/>
    <w:tmpl w:val="19C0534C"/>
    <w:lvl w:ilvl="0" w:tplc="C45ED5BE">
      <w:start w:val="1"/>
      <w:numFmt w:val="bullet"/>
      <w:lvlText w:val="-"/>
      <w:lvlJc w:val="left"/>
      <w:pPr>
        <w:ind w:left="360" w:hanging="360"/>
      </w:pPr>
      <w:rPr>
        <w:rFonts w:ascii="Times New Roman" w:eastAsia="Times New Roman" w:hAnsi="Times New Roman" w:hint="eastAsia"/>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38248085">
    <w:abstractNumId w:val="1"/>
  </w:num>
  <w:num w:numId="2" w16cid:durableId="1163426266">
    <w:abstractNumId w:val="11"/>
  </w:num>
  <w:num w:numId="3" w16cid:durableId="652417368">
    <w:abstractNumId w:val="12"/>
  </w:num>
  <w:num w:numId="4" w16cid:durableId="807628374">
    <w:abstractNumId w:val="18"/>
  </w:num>
  <w:num w:numId="5" w16cid:durableId="1665234961">
    <w:abstractNumId w:val="2"/>
  </w:num>
  <w:num w:numId="6" w16cid:durableId="85155728">
    <w:abstractNumId w:val="4"/>
  </w:num>
  <w:num w:numId="7" w16cid:durableId="1235122433">
    <w:abstractNumId w:val="9"/>
  </w:num>
  <w:num w:numId="8" w16cid:durableId="446849751">
    <w:abstractNumId w:val="10"/>
  </w:num>
  <w:num w:numId="9" w16cid:durableId="757211808">
    <w:abstractNumId w:val="6"/>
  </w:num>
  <w:num w:numId="10" w16cid:durableId="1919632854">
    <w:abstractNumId w:val="13"/>
  </w:num>
  <w:num w:numId="11" w16cid:durableId="149102697">
    <w:abstractNumId w:val="16"/>
  </w:num>
  <w:num w:numId="12" w16cid:durableId="1671134083">
    <w:abstractNumId w:val="14"/>
  </w:num>
  <w:num w:numId="13" w16cid:durableId="1001391753">
    <w:abstractNumId w:val="3"/>
  </w:num>
  <w:num w:numId="14" w16cid:durableId="1405185393">
    <w:abstractNumId w:val="7"/>
  </w:num>
  <w:num w:numId="15" w16cid:durableId="153180095">
    <w:abstractNumId w:val="19"/>
  </w:num>
  <w:num w:numId="16" w16cid:durableId="1647931411">
    <w:abstractNumId w:val="15"/>
  </w:num>
  <w:num w:numId="17" w16cid:durableId="1292788708">
    <w:abstractNumId w:val="17"/>
  </w:num>
  <w:num w:numId="18" w16cid:durableId="361908264">
    <w:abstractNumId w:val="0"/>
  </w:num>
  <w:num w:numId="19" w16cid:durableId="1745029297">
    <w:abstractNumId w:val="5"/>
  </w:num>
  <w:num w:numId="20" w16cid:durableId="172770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67"/>
    <w:rsid w:val="00000251"/>
    <w:rsid w:val="000035B8"/>
    <w:rsid w:val="00010C50"/>
    <w:rsid w:val="00021301"/>
    <w:rsid w:val="000247A8"/>
    <w:rsid w:val="00046463"/>
    <w:rsid w:val="000465E0"/>
    <w:rsid w:val="000609E8"/>
    <w:rsid w:val="00063D40"/>
    <w:rsid w:val="000759A4"/>
    <w:rsid w:val="00091025"/>
    <w:rsid w:val="000D08B8"/>
    <w:rsid w:val="000D4047"/>
    <w:rsid w:val="000D7028"/>
    <w:rsid w:val="000E131B"/>
    <w:rsid w:val="000E5E90"/>
    <w:rsid w:val="000F075F"/>
    <w:rsid w:val="000F6F9E"/>
    <w:rsid w:val="00116305"/>
    <w:rsid w:val="001279CA"/>
    <w:rsid w:val="00132733"/>
    <w:rsid w:val="00141314"/>
    <w:rsid w:val="00143F16"/>
    <w:rsid w:val="00155027"/>
    <w:rsid w:val="00164C30"/>
    <w:rsid w:val="00172A65"/>
    <w:rsid w:val="0017302C"/>
    <w:rsid w:val="00174FCD"/>
    <w:rsid w:val="00180884"/>
    <w:rsid w:val="001817F9"/>
    <w:rsid w:val="00193C0F"/>
    <w:rsid w:val="001B3068"/>
    <w:rsid w:val="001C17D8"/>
    <w:rsid w:val="001C4A74"/>
    <w:rsid w:val="001C7E71"/>
    <w:rsid w:val="001D0367"/>
    <w:rsid w:val="001D4419"/>
    <w:rsid w:val="001D49BB"/>
    <w:rsid w:val="001D72FC"/>
    <w:rsid w:val="001E5018"/>
    <w:rsid w:val="001E6E54"/>
    <w:rsid w:val="00207EE9"/>
    <w:rsid w:val="00232640"/>
    <w:rsid w:val="00244F75"/>
    <w:rsid w:val="0026359C"/>
    <w:rsid w:val="00264D9D"/>
    <w:rsid w:val="002E1165"/>
    <w:rsid w:val="002E27E6"/>
    <w:rsid w:val="002E3C8C"/>
    <w:rsid w:val="002E7C0A"/>
    <w:rsid w:val="002F6E51"/>
    <w:rsid w:val="00310C93"/>
    <w:rsid w:val="003147BE"/>
    <w:rsid w:val="003305DB"/>
    <w:rsid w:val="003425D7"/>
    <w:rsid w:val="0034385F"/>
    <w:rsid w:val="00344EC8"/>
    <w:rsid w:val="0034642F"/>
    <w:rsid w:val="003720C3"/>
    <w:rsid w:val="00377860"/>
    <w:rsid w:val="00390463"/>
    <w:rsid w:val="00395D57"/>
    <w:rsid w:val="003A62C0"/>
    <w:rsid w:val="003D1C3B"/>
    <w:rsid w:val="003D6243"/>
    <w:rsid w:val="003E0BC1"/>
    <w:rsid w:val="003E0EB4"/>
    <w:rsid w:val="00407B68"/>
    <w:rsid w:val="0041486F"/>
    <w:rsid w:val="00432E69"/>
    <w:rsid w:val="00445A35"/>
    <w:rsid w:val="00446E7A"/>
    <w:rsid w:val="00447F3F"/>
    <w:rsid w:val="00450216"/>
    <w:rsid w:val="00465692"/>
    <w:rsid w:val="00477001"/>
    <w:rsid w:val="00483B58"/>
    <w:rsid w:val="004A1EFD"/>
    <w:rsid w:val="004A536F"/>
    <w:rsid w:val="004C0075"/>
    <w:rsid w:val="004C258C"/>
    <w:rsid w:val="004C43AC"/>
    <w:rsid w:val="004E506B"/>
    <w:rsid w:val="004E6761"/>
    <w:rsid w:val="004F6108"/>
    <w:rsid w:val="005049CF"/>
    <w:rsid w:val="0051760F"/>
    <w:rsid w:val="00520126"/>
    <w:rsid w:val="005229A6"/>
    <w:rsid w:val="00524B7F"/>
    <w:rsid w:val="00527A60"/>
    <w:rsid w:val="0058270E"/>
    <w:rsid w:val="00584635"/>
    <w:rsid w:val="00591D82"/>
    <w:rsid w:val="005C09D3"/>
    <w:rsid w:val="005C47A2"/>
    <w:rsid w:val="005C79B5"/>
    <w:rsid w:val="005E3AEF"/>
    <w:rsid w:val="005F0E41"/>
    <w:rsid w:val="00612A8A"/>
    <w:rsid w:val="00613CDF"/>
    <w:rsid w:val="00613D5A"/>
    <w:rsid w:val="006148EB"/>
    <w:rsid w:val="00615055"/>
    <w:rsid w:val="0064291F"/>
    <w:rsid w:val="00643448"/>
    <w:rsid w:val="006547F3"/>
    <w:rsid w:val="00657CC7"/>
    <w:rsid w:val="00665252"/>
    <w:rsid w:val="00665E67"/>
    <w:rsid w:val="0067621B"/>
    <w:rsid w:val="0068073F"/>
    <w:rsid w:val="006A2A9C"/>
    <w:rsid w:val="006A5AFE"/>
    <w:rsid w:val="006D34F4"/>
    <w:rsid w:val="006E3662"/>
    <w:rsid w:val="006E4A3C"/>
    <w:rsid w:val="00705DA4"/>
    <w:rsid w:val="007231AB"/>
    <w:rsid w:val="00743183"/>
    <w:rsid w:val="00780596"/>
    <w:rsid w:val="00794DF3"/>
    <w:rsid w:val="0079789F"/>
    <w:rsid w:val="007A22A1"/>
    <w:rsid w:val="007B7BB9"/>
    <w:rsid w:val="007C3CCD"/>
    <w:rsid w:val="007C69C2"/>
    <w:rsid w:val="007C7C3A"/>
    <w:rsid w:val="007D0BAD"/>
    <w:rsid w:val="007D1592"/>
    <w:rsid w:val="007D2D31"/>
    <w:rsid w:val="007E0BBC"/>
    <w:rsid w:val="007E4D48"/>
    <w:rsid w:val="0080649D"/>
    <w:rsid w:val="00810F25"/>
    <w:rsid w:val="00817011"/>
    <w:rsid w:val="00824942"/>
    <w:rsid w:val="0082537A"/>
    <w:rsid w:val="00825AAB"/>
    <w:rsid w:val="0082692C"/>
    <w:rsid w:val="00830058"/>
    <w:rsid w:val="00872DAB"/>
    <w:rsid w:val="0087621F"/>
    <w:rsid w:val="00877AD7"/>
    <w:rsid w:val="00877CDB"/>
    <w:rsid w:val="008918C7"/>
    <w:rsid w:val="009143D0"/>
    <w:rsid w:val="00914E3F"/>
    <w:rsid w:val="00926A44"/>
    <w:rsid w:val="0096462E"/>
    <w:rsid w:val="00965016"/>
    <w:rsid w:val="0096699F"/>
    <w:rsid w:val="0097497C"/>
    <w:rsid w:val="0098616F"/>
    <w:rsid w:val="009B772E"/>
    <w:rsid w:val="009C057A"/>
    <w:rsid w:val="009F0A0C"/>
    <w:rsid w:val="009F1037"/>
    <w:rsid w:val="009F14CE"/>
    <w:rsid w:val="009F78B5"/>
    <w:rsid w:val="00A111D3"/>
    <w:rsid w:val="00A14498"/>
    <w:rsid w:val="00A170D2"/>
    <w:rsid w:val="00A41F59"/>
    <w:rsid w:val="00A4623B"/>
    <w:rsid w:val="00A5061D"/>
    <w:rsid w:val="00A534D0"/>
    <w:rsid w:val="00A54C0E"/>
    <w:rsid w:val="00A56160"/>
    <w:rsid w:val="00A63B23"/>
    <w:rsid w:val="00A72FBC"/>
    <w:rsid w:val="00A81BBA"/>
    <w:rsid w:val="00A8361B"/>
    <w:rsid w:val="00A84544"/>
    <w:rsid w:val="00A86241"/>
    <w:rsid w:val="00AA173A"/>
    <w:rsid w:val="00AA17CA"/>
    <w:rsid w:val="00AC04BB"/>
    <w:rsid w:val="00AC55AC"/>
    <w:rsid w:val="00AE35ED"/>
    <w:rsid w:val="00AE617C"/>
    <w:rsid w:val="00AE7E26"/>
    <w:rsid w:val="00AF33FC"/>
    <w:rsid w:val="00AF385A"/>
    <w:rsid w:val="00B20783"/>
    <w:rsid w:val="00B21D9B"/>
    <w:rsid w:val="00B31E1F"/>
    <w:rsid w:val="00B33DE3"/>
    <w:rsid w:val="00B43C3E"/>
    <w:rsid w:val="00B45A8D"/>
    <w:rsid w:val="00B63BB9"/>
    <w:rsid w:val="00B64E34"/>
    <w:rsid w:val="00B72598"/>
    <w:rsid w:val="00B75983"/>
    <w:rsid w:val="00B75DEC"/>
    <w:rsid w:val="00B90EF1"/>
    <w:rsid w:val="00BA43AF"/>
    <w:rsid w:val="00BB2D6E"/>
    <w:rsid w:val="00BB31FD"/>
    <w:rsid w:val="00BC40EC"/>
    <w:rsid w:val="00BF66B8"/>
    <w:rsid w:val="00C00212"/>
    <w:rsid w:val="00C00F4C"/>
    <w:rsid w:val="00C012E7"/>
    <w:rsid w:val="00C15F93"/>
    <w:rsid w:val="00C20A11"/>
    <w:rsid w:val="00C31C71"/>
    <w:rsid w:val="00C4202C"/>
    <w:rsid w:val="00C62939"/>
    <w:rsid w:val="00C671D3"/>
    <w:rsid w:val="00C813D4"/>
    <w:rsid w:val="00C87941"/>
    <w:rsid w:val="00CA231E"/>
    <w:rsid w:val="00CB2171"/>
    <w:rsid w:val="00CC3E4E"/>
    <w:rsid w:val="00CD28FD"/>
    <w:rsid w:val="00CD6DE4"/>
    <w:rsid w:val="00CE1DA0"/>
    <w:rsid w:val="00CE4953"/>
    <w:rsid w:val="00CF546A"/>
    <w:rsid w:val="00D00818"/>
    <w:rsid w:val="00D0749F"/>
    <w:rsid w:val="00D10AF7"/>
    <w:rsid w:val="00D11D52"/>
    <w:rsid w:val="00D3033C"/>
    <w:rsid w:val="00D3271C"/>
    <w:rsid w:val="00D33757"/>
    <w:rsid w:val="00D46F34"/>
    <w:rsid w:val="00D50528"/>
    <w:rsid w:val="00D512D8"/>
    <w:rsid w:val="00D5589E"/>
    <w:rsid w:val="00D61F9E"/>
    <w:rsid w:val="00D62189"/>
    <w:rsid w:val="00D74670"/>
    <w:rsid w:val="00D90D50"/>
    <w:rsid w:val="00D95652"/>
    <w:rsid w:val="00D97886"/>
    <w:rsid w:val="00DA4946"/>
    <w:rsid w:val="00DB1136"/>
    <w:rsid w:val="00DD3D7F"/>
    <w:rsid w:val="00DD4CBC"/>
    <w:rsid w:val="00DD6411"/>
    <w:rsid w:val="00DF7C48"/>
    <w:rsid w:val="00E248D1"/>
    <w:rsid w:val="00E31CF8"/>
    <w:rsid w:val="00E32EDB"/>
    <w:rsid w:val="00E37A41"/>
    <w:rsid w:val="00E40433"/>
    <w:rsid w:val="00E51B89"/>
    <w:rsid w:val="00E70D8D"/>
    <w:rsid w:val="00E84A7F"/>
    <w:rsid w:val="00E91B84"/>
    <w:rsid w:val="00EA0BD2"/>
    <w:rsid w:val="00EA6BC3"/>
    <w:rsid w:val="00ED064B"/>
    <w:rsid w:val="00EE3515"/>
    <w:rsid w:val="00EF421B"/>
    <w:rsid w:val="00EF6162"/>
    <w:rsid w:val="00EF792B"/>
    <w:rsid w:val="00F107ED"/>
    <w:rsid w:val="00F20D5B"/>
    <w:rsid w:val="00F34489"/>
    <w:rsid w:val="00F43166"/>
    <w:rsid w:val="00F53E2B"/>
    <w:rsid w:val="00F61B1B"/>
    <w:rsid w:val="00F62E26"/>
    <w:rsid w:val="00F636DA"/>
    <w:rsid w:val="00F63C8F"/>
    <w:rsid w:val="00F81E49"/>
    <w:rsid w:val="00FB7D51"/>
    <w:rsid w:val="00FD6597"/>
    <w:rsid w:val="00FE40D9"/>
    <w:rsid w:val="00FF5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1972"/>
  <w15:chartTrackingRefBased/>
  <w15:docId w15:val="{9DEE4DD2-F94B-49B3-8575-E4CAAFC3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0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A3C"/>
    <w:pPr>
      <w:tabs>
        <w:tab w:val="center" w:pos="4536"/>
        <w:tab w:val="right" w:pos="9072"/>
      </w:tabs>
      <w:spacing w:after="0" w:line="240" w:lineRule="auto"/>
    </w:pPr>
  </w:style>
  <w:style w:type="character" w:customStyle="1" w:styleId="En-tteCar">
    <w:name w:val="En-tête Car"/>
    <w:basedOn w:val="Policepardfaut"/>
    <w:link w:val="En-tte"/>
    <w:uiPriority w:val="99"/>
    <w:rsid w:val="006E4A3C"/>
  </w:style>
  <w:style w:type="paragraph" w:styleId="Pieddepage">
    <w:name w:val="footer"/>
    <w:basedOn w:val="Normal"/>
    <w:link w:val="PieddepageCar"/>
    <w:uiPriority w:val="99"/>
    <w:unhideWhenUsed/>
    <w:rsid w:val="006E4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A3C"/>
  </w:style>
  <w:style w:type="paragraph" w:styleId="Textedebulles">
    <w:name w:val="Balloon Text"/>
    <w:basedOn w:val="Normal"/>
    <w:link w:val="TextedebullesCar"/>
    <w:uiPriority w:val="99"/>
    <w:semiHidden/>
    <w:unhideWhenUsed/>
    <w:rsid w:val="00D62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189"/>
    <w:rPr>
      <w:rFonts w:ascii="Segoe UI" w:hAnsi="Segoe UI" w:cs="Segoe UI"/>
      <w:sz w:val="18"/>
      <w:szCs w:val="18"/>
    </w:rPr>
  </w:style>
  <w:style w:type="paragraph" w:styleId="Rvision">
    <w:name w:val="Revision"/>
    <w:hidden/>
    <w:uiPriority w:val="99"/>
    <w:semiHidden/>
    <w:rsid w:val="000D08B8"/>
    <w:pPr>
      <w:spacing w:after="0" w:line="240" w:lineRule="auto"/>
    </w:pPr>
  </w:style>
  <w:style w:type="character" w:styleId="Marquedecommentaire">
    <w:name w:val="annotation reference"/>
    <w:basedOn w:val="Policepardfaut"/>
    <w:uiPriority w:val="99"/>
    <w:semiHidden/>
    <w:unhideWhenUsed/>
    <w:rsid w:val="00C31C71"/>
    <w:rPr>
      <w:sz w:val="16"/>
      <w:szCs w:val="16"/>
    </w:rPr>
  </w:style>
  <w:style w:type="paragraph" w:styleId="Commentaire">
    <w:name w:val="annotation text"/>
    <w:basedOn w:val="Normal"/>
    <w:link w:val="CommentaireCar"/>
    <w:uiPriority w:val="99"/>
    <w:semiHidden/>
    <w:unhideWhenUsed/>
    <w:rsid w:val="00C31C71"/>
    <w:pPr>
      <w:spacing w:line="240" w:lineRule="auto"/>
    </w:pPr>
    <w:rPr>
      <w:sz w:val="20"/>
      <w:szCs w:val="20"/>
    </w:rPr>
  </w:style>
  <w:style w:type="character" w:customStyle="1" w:styleId="CommentaireCar">
    <w:name w:val="Commentaire Car"/>
    <w:basedOn w:val="Policepardfaut"/>
    <w:link w:val="Commentaire"/>
    <w:uiPriority w:val="99"/>
    <w:semiHidden/>
    <w:rsid w:val="00C31C71"/>
    <w:rPr>
      <w:sz w:val="20"/>
      <w:szCs w:val="20"/>
    </w:rPr>
  </w:style>
  <w:style w:type="paragraph" w:styleId="Objetducommentaire">
    <w:name w:val="annotation subject"/>
    <w:basedOn w:val="Commentaire"/>
    <w:next w:val="Commentaire"/>
    <w:link w:val="ObjetducommentaireCar"/>
    <w:uiPriority w:val="99"/>
    <w:semiHidden/>
    <w:unhideWhenUsed/>
    <w:rsid w:val="00C31C71"/>
    <w:rPr>
      <w:b/>
      <w:bCs/>
    </w:rPr>
  </w:style>
  <w:style w:type="character" w:customStyle="1" w:styleId="ObjetducommentaireCar">
    <w:name w:val="Objet du commentaire Car"/>
    <w:basedOn w:val="CommentaireCar"/>
    <w:link w:val="Objetducommentaire"/>
    <w:uiPriority w:val="99"/>
    <w:semiHidden/>
    <w:rsid w:val="00C31C71"/>
    <w:rPr>
      <w:b/>
      <w:bCs/>
      <w:sz w:val="20"/>
      <w:szCs w:val="20"/>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3"/>
    <w:basedOn w:val="Normal"/>
    <w:link w:val="ParagraphedelisteCar"/>
    <w:uiPriority w:val="34"/>
    <w:qFormat/>
    <w:rsid w:val="0097497C"/>
    <w:pPr>
      <w:ind w:left="720"/>
      <w:contextualSpacing/>
    </w:pPr>
  </w:style>
  <w:style w:type="paragraph" w:styleId="NormalWeb">
    <w:name w:val="Normal (Web)"/>
    <w:basedOn w:val="Normal"/>
    <w:uiPriority w:val="99"/>
    <w:semiHidden/>
    <w:unhideWhenUsed/>
    <w:rsid w:val="00141314"/>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810F25"/>
  </w:style>
  <w:style w:type="paragraph" w:styleId="Corpsdetexte">
    <w:name w:val="Body Text"/>
    <w:basedOn w:val="Normal"/>
    <w:link w:val="CorpsdetexteCar"/>
    <w:rsid w:val="00C012E7"/>
    <w:pPr>
      <w:spacing w:after="0" w:line="240" w:lineRule="auto"/>
      <w:jc w:val="lowKashida"/>
    </w:pPr>
    <w:rPr>
      <w:rFonts w:ascii="Times New Roman" w:eastAsia="Times New Roman" w:hAnsi="Times New Roman" w:cs="Traditional Arabic"/>
      <w:sz w:val="32"/>
      <w:szCs w:val="24"/>
      <w:lang w:eastAsia="fr-FR"/>
    </w:rPr>
  </w:style>
  <w:style w:type="character" w:customStyle="1" w:styleId="CorpsdetexteCar">
    <w:name w:val="Corps de texte Car"/>
    <w:basedOn w:val="Policepardfaut"/>
    <w:link w:val="Corpsdetexte"/>
    <w:rsid w:val="00C012E7"/>
    <w:rPr>
      <w:rFonts w:ascii="Times New Roman" w:eastAsia="Times New Roman" w:hAnsi="Times New Roman" w:cs="Traditional Arabic"/>
      <w:sz w:val="32"/>
      <w:szCs w:val="24"/>
      <w:lang w:eastAsia="fr-FR"/>
    </w:rPr>
  </w:style>
  <w:style w:type="table" w:styleId="Grilledutableau">
    <w:name w:val="Table Grid"/>
    <w:basedOn w:val="TableauNormal"/>
    <w:uiPriority w:val="39"/>
    <w:rsid w:val="00BB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172A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E50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5Fonc-Accentuation3">
    <w:name w:val="List Table 5 Dark Accent 3"/>
    <w:basedOn w:val="TableauNormal"/>
    <w:uiPriority w:val="50"/>
    <w:rsid w:val="00BA43A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152">
      <w:bodyDiv w:val="1"/>
      <w:marLeft w:val="0"/>
      <w:marRight w:val="0"/>
      <w:marTop w:val="0"/>
      <w:marBottom w:val="0"/>
      <w:divBdr>
        <w:top w:val="none" w:sz="0" w:space="0" w:color="auto"/>
        <w:left w:val="none" w:sz="0" w:space="0" w:color="auto"/>
        <w:bottom w:val="none" w:sz="0" w:space="0" w:color="auto"/>
        <w:right w:val="none" w:sz="0" w:space="0" w:color="auto"/>
      </w:divBdr>
      <w:divsChild>
        <w:div w:id="1150290802">
          <w:marLeft w:val="1267"/>
          <w:marRight w:val="0"/>
          <w:marTop w:val="0"/>
          <w:marBottom w:val="120"/>
          <w:divBdr>
            <w:top w:val="none" w:sz="0" w:space="0" w:color="auto"/>
            <w:left w:val="none" w:sz="0" w:space="0" w:color="auto"/>
            <w:bottom w:val="none" w:sz="0" w:space="0" w:color="auto"/>
            <w:right w:val="none" w:sz="0" w:space="0" w:color="auto"/>
          </w:divBdr>
        </w:div>
        <w:div w:id="1823548316">
          <w:marLeft w:val="1267"/>
          <w:marRight w:val="0"/>
          <w:marTop w:val="0"/>
          <w:marBottom w:val="120"/>
          <w:divBdr>
            <w:top w:val="none" w:sz="0" w:space="0" w:color="auto"/>
            <w:left w:val="none" w:sz="0" w:space="0" w:color="auto"/>
            <w:bottom w:val="none" w:sz="0" w:space="0" w:color="auto"/>
            <w:right w:val="none" w:sz="0" w:space="0" w:color="auto"/>
          </w:divBdr>
        </w:div>
        <w:div w:id="115023874">
          <w:marLeft w:val="1267"/>
          <w:marRight w:val="0"/>
          <w:marTop w:val="0"/>
          <w:marBottom w:val="120"/>
          <w:divBdr>
            <w:top w:val="none" w:sz="0" w:space="0" w:color="auto"/>
            <w:left w:val="none" w:sz="0" w:space="0" w:color="auto"/>
            <w:bottom w:val="none" w:sz="0" w:space="0" w:color="auto"/>
            <w:right w:val="none" w:sz="0" w:space="0" w:color="auto"/>
          </w:divBdr>
        </w:div>
      </w:divsChild>
    </w:div>
    <w:div w:id="306591592">
      <w:bodyDiv w:val="1"/>
      <w:marLeft w:val="0"/>
      <w:marRight w:val="0"/>
      <w:marTop w:val="0"/>
      <w:marBottom w:val="0"/>
      <w:divBdr>
        <w:top w:val="none" w:sz="0" w:space="0" w:color="auto"/>
        <w:left w:val="none" w:sz="0" w:space="0" w:color="auto"/>
        <w:bottom w:val="none" w:sz="0" w:space="0" w:color="auto"/>
        <w:right w:val="none" w:sz="0" w:space="0" w:color="auto"/>
      </w:divBdr>
    </w:div>
    <w:div w:id="326791130">
      <w:bodyDiv w:val="1"/>
      <w:marLeft w:val="0"/>
      <w:marRight w:val="0"/>
      <w:marTop w:val="0"/>
      <w:marBottom w:val="0"/>
      <w:divBdr>
        <w:top w:val="none" w:sz="0" w:space="0" w:color="auto"/>
        <w:left w:val="none" w:sz="0" w:space="0" w:color="auto"/>
        <w:bottom w:val="none" w:sz="0" w:space="0" w:color="auto"/>
        <w:right w:val="none" w:sz="0" w:space="0" w:color="auto"/>
      </w:divBdr>
      <w:divsChild>
        <w:div w:id="2144539957">
          <w:marLeft w:val="547"/>
          <w:marRight w:val="0"/>
          <w:marTop w:val="120"/>
          <w:marBottom w:val="120"/>
          <w:divBdr>
            <w:top w:val="none" w:sz="0" w:space="0" w:color="auto"/>
            <w:left w:val="none" w:sz="0" w:space="0" w:color="auto"/>
            <w:bottom w:val="none" w:sz="0" w:space="0" w:color="auto"/>
            <w:right w:val="none" w:sz="0" w:space="0" w:color="auto"/>
          </w:divBdr>
        </w:div>
        <w:div w:id="1985618143">
          <w:marLeft w:val="547"/>
          <w:marRight w:val="0"/>
          <w:marTop w:val="120"/>
          <w:marBottom w:val="120"/>
          <w:divBdr>
            <w:top w:val="none" w:sz="0" w:space="0" w:color="auto"/>
            <w:left w:val="none" w:sz="0" w:space="0" w:color="auto"/>
            <w:bottom w:val="none" w:sz="0" w:space="0" w:color="auto"/>
            <w:right w:val="none" w:sz="0" w:space="0" w:color="auto"/>
          </w:divBdr>
        </w:div>
        <w:div w:id="1959141483">
          <w:marLeft w:val="547"/>
          <w:marRight w:val="0"/>
          <w:marTop w:val="120"/>
          <w:marBottom w:val="120"/>
          <w:divBdr>
            <w:top w:val="none" w:sz="0" w:space="0" w:color="auto"/>
            <w:left w:val="none" w:sz="0" w:space="0" w:color="auto"/>
            <w:bottom w:val="none" w:sz="0" w:space="0" w:color="auto"/>
            <w:right w:val="none" w:sz="0" w:space="0" w:color="auto"/>
          </w:divBdr>
        </w:div>
        <w:div w:id="727848131">
          <w:marLeft w:val="547"/>
          <w:marRight w:val="0"/>
          <w:marTop w:val="120"/>
          <w:marBottom w:val="120"/>
          <w:divBdr>
            <w:top w:val="none" w:sz="0" w:space="0" w:color="auto"/>
            <w:left w:val="none" w:sz="0" w:space="0" w:color="auto"/>
            <w:bottom w:val="none" w:sz="0" w:space="0" w:color="auto"/>
            <w:right w:val="none" w:sz="0" w:space="0" w:color="auto"/>
          </w:divBdr>
        </w:div>
      </w:divsChild>
    </w:div>
    <w:div w:id="348601420">
      <w:bodyDiv w:val="1"/>
      <w:marLeft w:val="0"/>
      <w:marRight w:val="0"/>
      <w:marTop w:val="0"/>
      <w:marBottom w:val="0"/>
      <w:divBdr>
        <w:top w:val="none" w:sz="0" w:space="0" w:color="auto"/>
        <w:left w:val="none" w:sz="0" w:space="0" w:color="auto"/>
        <w:bottom w:val="none" w:sz="0" w:space="0" w:color="auto"/>
        <w:right w:val="none" w:sz="0" w:space="0" w:color="auto"/>
      </w:divBdr>
    </w:div>
    <w:div w:id="357195362">
      <w:bodyDiv w:val="1"/>
      <w:marLeft w:val="0"/>
      <w:marRight w:val="0"/>
      <w:marTop w:val="0"/>
      <w:marBottom w:val="0"/>
      <w:divBdr>
        <w:top w:val="none" w:sz="0" w:space="0" w:color="auto"/>
        <w:left w:val="none" w:sz="0" w:space="0" w:color="auto"/>
        <w:bottom w:val="none" w:sz="0" w:space="0" w:color="auto"/>
        <w:right w:val="none" w:sz="0" w:space="0" w:color="auto"/>
      </w:divBdr>
    </w:div>
    <w:div w:id="990409195">
      <w:bodyDiv w:val="1"/>
      <w:marLeft w:val="0"/>
      <w:marRight w:val="0"/>
      <w:marTop w:val="0"/>
      <w:marBottom w:val="0"/>
      <w:divBdr>
        <w:top w:val="none" w:sz="0" w:space="0" w:color="auto"/>
        <w:left w:val="none" w:sz="0" w:space="0" w:color="auto"/>
        <w:bottom w:val="none" w:sz="0" w:space="0" w:color="auto"/>
        <w:right w:val="none" w:sz="0" w:space="0" w:color="auto"/>
      </w:divBdr>
    </w:div>
    <w:div w:id="1454858853">
      <w:bodyDiv w:val="1"/>
      <w:marLeft w:val="0"/>
      <w:marRight w:val="0"/>
      <w:marTop w:val="0"/>
      <w:marBottom w:val="0"/>
      <w:divBdr>
        <w:top w:val="none" w:sz="0" w:space="0" w:color="auto"/>
        <w:left w:val="none" w:sz="0" w:space="0" w:color="auto"/>
        <w:bottom w:val="none" w:sz="0" w:space="0" w:color="auto"/>
        <w:right w:val="none" w:sz="0" w:space="0" w:color="auto"/>
      </w:divBdr>
    </w:div>
    <w:div w:id="1858501566">
      <w:bodyDiv w:val="1"/>
      <w:marLeft w:val="0"/>
      <w:marRight w:val="0"/>
      <w:marTop w:val="0"/>
      <w:marBottom w:val="0"/>
      <w:divBdr>
        <w:top w:val="none" w:sz="0" w:space="0" w:color="auto"/>
        <w:left w:val="none" w:sz="0" w:space="0" w:color="auto"/>
        <w:bottom w:val="none" w:sz="0" w:space="0" w:color="auto"/>
        <w:right w:val="none" w:sz="0" w:space="0" w:color="auto"/>
      </w:divBdr>
    </w:div>
    <w:div w:id="2100443367">
      <w:bodyDiv w:val="1"/>
      <w:marLeft w:val="0"/>
      <w:marRight w:val="0"/>
      <w:marTop w:val="0"/>
      <w:marBottom w:val="0"/>
      <w:divBdr>
        <w:top w:val="none" w:sz="0" w:space="0" w:color="auto"/>
        <w:left w:val="none" w:sz="0" w:space="0" w:color="auto"/>
        <w:bottom w:val="none" w:sz="0" w:space="0" w:color="auto"/>
        <w:right w:val="none" w:sz="0" w:space="0" w:color="auto"/>
      </w:divBdr>
    </w:div>
    <w:div w:id="2117557891">
      <w:bodyDiv w:val="1"/>
      <w:marLeft w:val="0"/>
      <w:marRight w:val="0"/>
      <w:marTop w:val="0"/>
      <w:marBottom w:val="0"/>
      <w:divBdr>
        <w:top w:val="none" w:sz="0" w:space="0" w:color="auto"/>
        <w:left w:val="none" w:sz="0" w:space="0" w:color="auto"/>
        <w:bottom w:val="none" w:sz="0" w:space="0" w:color="auto"/>
        <w:right w:val="none" w:sz="0" w:space="0" w:color="auto"/>
      </w:divBdr>
      <w:divsChild>
        <w:div w:id="94518745">
          <w:marLeft w:val="1267"/>
          <w:marRight w:val="0"/>
          <w:marTop w:val="120"/>
          <w:marBottom w:val="120"/>
          <w:divBdr>
            <w:top w:val="none" w:sz="0" w:space="0" w:color="auto"/>
            <w:left w:val="none" w:sz="0" w:space="0" w:color="auto"/>
            <w:bottom w:val="none" w:sz="0" w:space="0" w:color="auto"/>
            <w:right w:val="none" w:sz="0" w:space="0" w:color="auto"/>
          </w:divBdr>
        </w:div>
        <w:div w:id="1940989470">
          <w:marLeft w:val="1267"/>
          <w:marRight w:val="0"/>
          <w:marTop w:val="120"/>
          <w:marBottom w:val="120"/>
          <w:divBdr>
            <w:top w:val="none" w:sz="0" w:space="0" w:color="auto"/>
            <w:left w:val="none" w:sz="0" w:space="0" w:color="auto"/>
            <w:bottom w:val="none" w:sz="0" w:space="0" w:color="auto"/>
            <w:right w:val="none" w:sz="0" w:space="0" w:color="auto"/>
          </w:divBdr>
        </w:div>
        <w:div w:id="1485387690">
          <w:marLeft w:val="126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C6A5-28D6-4FAF-BE0E-9839E15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ElBaz</dc:creator>
  <cp:keywords/>
  <dc:description/>
  <cp:lastModifiedBy>Mohamed Hammoumi</cp:lastModifiedBy>
  <cp:revision>3</cp:revision>
  <dcterms:created xsi:type="dcterms:W3CDTF">2022-12-20T15:16:00Z</dcterms:created>
  <dcterms:modified xsi:type="dcterms:W3CDTF">2022-12-20T15:19:00Z</dcterms:modified>
</cp:coreProperties>
</file>