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7DE" w:rsidRPr="00453AC3" w:rsidRDefault="000A47DE" w:rsidP="00453AC3">
      <w:pPr>
        <w:spacing w:after="0"/>
        <w:jc w:val="center"/>
        <w:rPr>
          <w:b/>
          <w:bCs/>
          <w:color w:val="00B0F0"/>
          <w:sz w:val="32"/>
          <w:szCs w:val="32"/>
          <w:u w:val="single"/>
        </w:rPr>
      </w:pPr>
      <w:r w:rsidRPr="00453AC3">
        <w:rPr>
          <w:b/>
          <w:bCs/>
          <w:color w:val="00B0F0"/>
          <w:sz w:val="32"/>
          <w:szCs w:val="32"/>
          <w:u w:val="single"/>
        </w:rPr>
        <w:t>COMMUNIQUE DE PRESSE</w:t>
      </w:r>
    </w:p>
    <w:p w:rsidR="00453AC3" w:rsidRDefault="000A47DE" w:rsidP="00453AC3">
      <w:pPr>
        <w:spacing w:before="120" w:after="0"/>
        <w:jc w:val="center"/>
        <w:rPr>
          <w:b/>
          <w:bCs/>
          <w:color w:val="0070C0"/>
          <w:sz w:val="28"/>
          <w:szCs w:val="28"/>
        </w:rPr>
      </w:pPr>
      <w:r w:rsidRPr="00453AC3">
        <w:rPr>
          <w:b/>
          <w:bCs/>
          <w:color w:val="0070C0"/>
          <w:sz w:val="28"/>
          <w:szCs w:val="28"/>
        </w:rPr>
        <w:t xml:space="preserve">Présentation des résultats de l’évaluation des </w:t>
      </w:r>
      <w:r w:rsidR="00453AC3" w:rsidRPr="00453AC3">
        <w:rPr>
          <w:b/>
          <w:bCs/>
          <w:color w:val="0070C0"/>
          <w:sz w:val="28"/>
          <w:szCs w:val="28"/>
        </w:rPr>
        <w:t xml:space="preserve">précédentes </w:t>
      </w:r>
      <w:r w:rsidRPr="00453AC3">
        <w:rPr>
          <w:b/>
          <w:bCs/>
          <w:color w:val="0070C0"/>
          <w:sz w:val="28"/>
          <w:szCs w:val="28"/>
        </w:rPr>
        <w:t xml:space="preserve">éditions </w:t>
      </w:r>
    </w:p>
    <w:p w:rsidR="000A47DE" w:rsidRPr="00453AC3" w:rsidRDefault="000A47DE" w:rsidP="00453AC3">
      <w:pPr>
        <w:spacing w:after="0"/>
        <w:jc w:val="center"/>
        <w:rPr>
          <w:b/>
          <w:bCs/>
          <w:color w:val="0070C0"/>
          <w:sz w:val="28"/>
          <w:szCs w:val="28"/>
        </w:rPr>
      </w:pPr>
      <w:proofErr w:type="gramStart"/>
      <w:r w:rsidRPr="00453AC3">
        <w:rPr>
          <w:b/>
          <w:bCs/>
          <w:color w:val="0070C0"/>
          <w:sz w:val="28"/>
          <w:szCs w:val="28"/>
        </w:rPr>
        <w:t>du</w:t>
      </w:r>
      <w:proofErr w:type="gramEnd"/>
      <w:r w:rsidRPr="00453AC3">
        <w:rPr>
          <w:b/>
          <w:bCs/>
          <w:color w:val="0070C0"/>
          <w:sz w:val="28"/>
          <w:szCs w:val="28"/>
        </w:rPr>
        <w:t xml:space="preserve"> Trophée de l’Egalité Professionnelle</w:t>
      </w:r>
    </w:p>
    <w:p w:rsidR="000A47DE" w:rsidRPr="005B0B18" w:rsidRDefault="000A47DE" w:rsidP="000A47DE"/>
    <w:p w:rsidR="00626C4F" w:rsidRPr="00F233B5" w:rsidRDefault="000A47DE" w:rsidP="00453AC3">
      <w:pPr>
        <w:spacing w:after="0"/>
        <w:jc w:val="both"/>
      </w:pPr>
      <w:r w:rsidRPr="00F233B5">
        <w:t xml:space="preserve">Le Ministère du Travail et de l’Insertion Professionnelle (MTIP), l’Agence Millennium Challenge </w:t>
      </w:r>
      <w:proofErr w:type="spellStart"/>
      <w:r w:rsidRPr="00F233B5">
        <w:t>Account</w:t>
      </w:r>
      <w:proofErr w:type="spellEnd"/>
      <w:r w:rsidRPr="00F233B5">
        <w:t xml:space="preserve">-Morocco (MCA-Morocco) et Millennium Challenge Corporation (MCC) ont organisé, ce vendredi 27 novembre 2020, un webinaire consacré à la présentation des résultats d’une étude portant sur l’évaluation des </w:t>
      </w:r>
      <w:r w:rsidR="00D6377D" w:rsidRPr="00F233B5">
        <w:t xml:space="preserve">précédentes </w:t>
      </w:r>
      <w:r w:rsidRPr="00F233B5">
        <w:t>éditions du Trophée de l’Egalité Professionnelle</w:t>
      </w:r>
      <w:r w:rsidR="00626C4F" w:rsidRPr="00F233B5">
        <w:t>.</w:t>
      </w:r>
    </w:p>
    <w:p w:rsidR="000A47DE" w:rsidRPr="00F233B5" w:rsidRDefault="00626C4F" w:rsidP="00453AC3">
      <w:pPr>
        <w:spacing w:before="120" w:after="0"/>
        <w:jc w:val="both"/>
      </w:pPr>
      <w:r w:rsidRPr="00F233B5">
        <w:t>Ce webinaire a été également l’occasion</w:t>
      </w:r>
      <w:r w:rsidR="005B0B18" w:rsidRPr="00F233B5">
        <w:t xml:space="preserve"> </w:t>
      </w:r>
      <w:r w:rsidRPr="00F233B5">
        <w:t>de</w:t>
      </w:r>
      <w:r w:rsidR="005B0B18" w:rsidRPr="00F233B5">
        <w:t xml:space="preserve"> recueil</w:t>
      </w:r>
      <w:r w:rsidRPr="00F233B5">
        <w:t>lir</w:t>
      </w:r>
      <w:r w:rsidR="005B0B18" w:rsidRPr="00F233B5">
        <w:t xml:space="preserve"> </w:t>
      </w:r>
      <w:r w:rsidRPr="00F233B5">
        <w:t>l</w:t>
      </w:r>
      <w:r w:rsidR="005B0B18" w:rsidRPr="00F233B5">
        <w:t xml:space="preserve">es avis, attentes et propositions des entreprises et des organisations professionnelles et syndicales </w:t>
      </w:r>
      <w:r w:rsidR="00D6377D" w:rsidRPr="00F233B5">
        <w:t>ayant participé à cette étude et ce,</w:t>
      </w:r>
      <w:r w:rsidR="005B0B18" w:rsidRPr="00F233B5">
        <w:t xml:space="preserve"> en vue d’</w:t>
      </w:r>
      <w:r w:rsidRPr="00F233B5">
        <w:t xml:space="preserve">améliorer ce Trophée qui s’inscrit </w:t>
      </w:r>
      <w:r w:rsidR="00CE0AAD" w:rsidRPr="00F233B5">
        <w:t>dans la cadre de la stratégie du MTIP</w:t>
      </w:r>
      <w:r w:rsidRPr="00F233B5">
        <w:t xml:space="preserve"> </w:t>
      </w:r>
      <w:r w:rsidR="00CE0AAD" w:rsidRPr="00F233B5">
        <w:t>vis</w:t>
      </w:r>
      <w:r w:rsidRPr="00F233B5">
        <w:t>ant</w:t>
      </w:r>
      <w:r w:rsidR="00CE0AAD" w:rsidRPr="00F233B5">
        <w:t xml:space="preserve"> à accompagner les entreprises du secteur privé en vue de la promotion de l’équité genre en milieu profession</w:t>
      </w:r>
      <w:r w:rsidRPr="00F233B5">
        <w:t>nel.</w:t>
      </w:r>
    </w:p>
    <w:p w:rsidR="00F233B5" w:rsidRPr="00F233B5" w:rsidRDefault="00F233B5" w:rsidP="00F324A5">
      <w:pPr>
        <w:spacing w:before="120" w:after="0"/>
        <w:jc w:val="both"/>
      </w:pPr>
      <w:r w:rsidRPr="00F233B5">
        <w:t xml:space="preserve">Ce webinaire a été marqué par la participation </w:t>
      </w:r>
      <w:r w:rsidR="00F324A5">
        <w:t xml:space="preserve">de </w:t>
      </w:r>
      <w:r w:rsidRPr="00F233B5">
        <w:t>M</w:t>
      </w:r>
      <w:r w:rsidRPr="00F233B5">
        <w:rPr>
          <w:vertAlign w:val="superscript"/>
        </w:rPr>
        <w:t>me</w:t>
      </w:r>
      <w:r w:rsidRPr="00F233B5">
        <w:t xml:space="preserve"> Malika LAASRI, Directrice Générale de l’Agence MCA-Morocco, M</w:t>
      </w:r>
      <w:r w:rsidRPr="00F233B5">
        <w:rPr>
          <w:vertAlign w:val="superscript"/>
        </w:rPr>
        <w:t>me</w:t>
      </w:r>
      <w:r w:rsidRPr="00F233B5">
        <w:t xml:space="preserve"> Sabah CHRAIBI, membre du Conseil d’Orientation Stratégique de l’Agence, M</w:t>
      </w:r>
      <w:r w:rsidRPr="00F233B5">
        <w:rPr>
          <w:vertAlign w:val="superscript"/>
        </w:rPr>
        <w:t>me</w:t>
      </w:r>
      <w:r w:rsidRPr="00F233B5">
        <w:t xml:space="preserve"> </w:t>
      </w:r>
      <w:proofErr w:type="spellStart"/>
      <w:r w:rsidRPr="00F233B5">
        <w:t>Salima</w:t>
      </w:r>
      <w:proofErr w:type="spellEnd"/>
      <w:r w:rsidRPr="00F233B5">
        <w:t xml:space="preserve"> ADMI, Directrice du Travail au Ministère du Travail et de l’Insertion Professionnelle</w:t>
      </w:r>
      <w:r w:rsidR="00F324A5">
        <w:t>,</w:t>
      </w:r>
      <w:bookmarkStart w:id="0" w:name="_GoBack"/>
      <w:bookmarkEnd w:id="0"/>
      <w:r w:rsidRPr="00F233B5">
        <w:t xml:space="preserve"> et M</w:t>
      </w:r>
      <w:r w:rsidRPr="00F233B5">
        <w:rPr>
          <w:vertAlign w:val="superscript"/>
        </w:rPr>
        <w:t>me</w:t>
      </w:r>
      <w:r w:rsidRPr="00F233B5">
        <w:t xml:space="preserve"> Sharon ROGERS, Directrice Genre et Inclusion Sociale à MCC.</w:t>
      </w:r>
    </w:p>
    <w:p w:rsidR="00626C4F" w:rsidRPr="00F233B5" w:rsidRDefault="00626C4F" w:rsidP="002D133F">
      <w:pPr>
        <w:spacing w:before="120" w:after="0"/>
        <w:jc w:val="both"/>
      </w:pPr>
      <w:r w:rsidRPr="00F233B5">
        <w:t xml:space="preserve">L’évaluation des quatre précédentes éditions de ce Trophée (2016, 2017, 2018 et 2019) a été conduite en vue d’identifier les aspects à améliorer, ainsi que les nouvelles actions à </w:t>
      </w:r>
      <w:r w:rsidR="00D6377D" w:rsidRPr="00F233B5">
        <w:t>entreprendre</w:t>
      </w:r>
      <w:r w:rsidRPr="00F233B5">
        <w:t xml:space="preserve"> dans le but </w:t>
      </w:r>
      <w:r w:rsidR="002D133F" w:rsidRPr="00F233B5">
        <w:t>de perfectionner</w:t>
      </w:r>
      <w:r w:rsidRPr="00F233B5">
        <w:t xml:space="preserve"> le dispositif existant et d’en faire un outil performant, efficace et attractif auprès des entreprises pour la promotion de l’équité et de l’égalité sur le lieu de travail. </w:t>
      </w:r>
    </w:p>
    <w:p w:rsidR="00626C4F" w:rsidRPr="00F233B5" w:rsidRDefault="00626C4F" w:rsidP="002D133F">
      <w:pPr>
        <w:spacing w:before="120" w:after="0"/>
        <w:jc w:val="both"/>
      </w:pPr>
      <w:r w:rsidRPr="00F233B5">
        <w:t xml:space="preserve">Menée durant la période allant de février à septembre 2020, cette évaluation a été réalisée à travers une analyse documentaire, suivie d’une étude qualitative basée sur des entretiens avec des représentants du secteur public et des enquêtes par questionnaire auprès </w:t>
      </w:r>
      <w:r w:rsidR="002D133F" w:rsidRPr="00F233B5">
        <w:t xml:space="preserve">aussi bien </w:t>
      </w:r>
      <w:r w:rsidRPr="00F233B5">
        <w:t xml:space="preserve">des entreprises que des organisations professionnelles et syndicales. </w:t>
      </w:r>
    </w:p>
    <w:p w:rsidR="0056695A" w:rsidRPr="00F233B5" w:rsidRDefault="0056695A" w:rsidP="00453AC3">
      <w:pPr>
        <w:spacing w:before="120" w:after="0"/>
        <w:jc w:val="both"/>
      </w:pPr>
      <w:r w:rsidRPr="00F233B5">
        <w:t xml:space="preserve">Dans le cadre de cette évaluation, le Trophée de l’Egalité Professionnelle a été jaugée à l’aune de plusieurs critères, </w:t>
      </w:r>
      <w:r w:rsidR="00453AC3" w:rsidRPr="00F233B5">
        <w:t>en l’occurrence la pertinence, l’efficacité, l’efficience, la cohérence et la viabilité de ce dispositif</w:t>
      </w:r>
      <w:r w:rsidRPr="00F233B5">
        <w:t xml:space="preserve">, tout en mettant l’accent en particulier sur les approches orientées sur les résultats.  </w:t>
      </w:r>
    </w:p>
    <w:p w:rsidR="0033128D" w:rsidRPr="00F233B5" w:rsidRDefault="0033128D" w:rsidP="002D133F">
      <w:pPr>
        <w:spacing w:before="120" w:after="0"/>
        <w:jc w:val="both"/>
      </w:pPr>
      <w:r w:rsidRPr="00F233B5">
        <w:t>Cette évaluation a été couronnée par l’émission d’une série de recommandations visant notamment la pérennisation d</w:t>
      </w:r>
      <w:r w:rsidR="00453AC3" w:rsidRPr="00F233B5">
        <w:t>e ce</w:t>
      </w:r>
      <w:r w:rsidRPr="00F233B5">
        <w:t xml:space="preserve"> Trophée et le renforcement de son ancrage institutionnel, la consolidation de l’implication des partenaires à travers la proposition d’une nouvelle structu</w:t>
      </w:r>
      <w:r w:rsidR="00453AC3" w:rsidRPr="00F233B5">
        <w:t>re de son c</w:t>
      </w:r>
      <w:r w:rsidRPr="00F233B5">
        <w:t xml:space="preserve">omité d’organisation et </w:t>
      </w:r>
      <w:r w:rsidR="0056695A" w:rsidRPr="00F233B5">
        <w:t>l’amélioration de la communication en vue d’accroître l’attractivité d</w:t>
      </w:r>
      <w:r w:rsidR="00453AC3" w:rsidRPr="00F233B5">
        <w:t>e ce</w:t>
      </w:r>
      <w:r w:rsidR="0056695A" w:rsidRPr="00F233B5">
        <w:t xml:space="preserve"> Trophée.</w:t>
      </w:r>
    </w:p>
    <w:p w:rsidR="000A47DE" w:rsidRPr="00F233B5" w:rsidRDefault="007A6D1C" w:rsidP="00453AC3">
      <w:pPr>
        <w:spacing w:before="120" w:after="0"/>
        <w:jc w:val="both"/>
      </w:pPr>
      <w:r w:rsidRPr="00F233B5">
        <w:t xml:space="preserve">Pour rappel, menée avec le soutien de l’Agence MCA-Morocco, cette évaluation s’inscrit dans le cadre de la composante « Appui à la promotion de l'équité genre en milieu professionnel » du projet « Emploi » relevant du programme de coopération « Compact II », </w:t>
      </w:r>
      <w:r w:rsidRPr="00F233B5">
        <w:rPr>
          <w:lang w:val="fr-MA"/>
        </w:rPr>
        <w:t>conclu entre le gouvernement du Royaume du Maroc et le gouvernement des Etats-Unis d’Amérique, représenté par MCC. Doté d’un budget de 450 millions USD, ce programme vise à rehausser la qualité du capital humain et à améliorer la productivité du foncier.</w:t>
      </w:r>
    </w:p>
    <w:sectPr w:rsidR="000A47DE" w:rsidRPr="00F233B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5C8" w:rsidRDefault="00DF65C8" w:rsidP="00F55E13">
      <w:pPr>
        <w:spacing w:after="0" w:line="240" w:lineRule="auto"/>
      </w:pPr>
      <w:r>
        <w:separator/>
      </w:r>
    </w:p>
  </w:endnote>
  <w:endnote w:type="continuationSeparator" w:id="0">
    <w:p w:rsidR="00DF65C8" w:rsidRDefault="00DF65C8" w:rsidP="00F55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5C8" w:rsidRDefault="00DF65C8" w:rsidP="00F55E13">
      <w:pPr>
        <w:spacing w:after="0" w:line="240" w:lineRule="auto"/>
      </w:pPr>
      <w:r>
        <w:separator/>
      </w:r>
    </w:p>
  </w:footnote>
  <w:footnote w:type="continuationSeparator" w:id="0">
    <w:p w:rsidR="00DF65C8" w:rsidRDefault="00DF65C8" w:rsidP="00F55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E13" w:rsidRDefault="00F55E13">
    <w:pPr>
      <w:pStyle w:val="En-tte"/>
    </w:pPr>
    <w:r w:rsidRPr="00F55E13"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4615DC1C">
          <wp:simplePos x="0" y="0"/>
          <wp:positionH relativeFrom="column">
            <wp:posOffset>1115965</wp:posOffset>
          </wp:positionH>
          <wp:positionV relativeFrom="paragraph">
            <wp:posOffset>-254989</wp:posOffset>
          </wp:positionV>
          <wp:extent cx="3403600" cy="889000"/>
          <wp:effectExtent l="0" t="0" r="0" b="0"/>
          <wp:wrapTopAndBottom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360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C1049C3"/>
    <w:multiLevelType w:val="hybridMultilevel"/>
    <w:tmpl w:val="3110A65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7F11B87"/>
    <w:multiLevelType w:val="hybridMultilevel"/>
    <w:tmpl w:val="B9F44C32"/>
    <w:lvl w:ilvl="0" w:tplc="B66CF3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B95EB4"/>
    <w:multiLevelType w:val="hybridMultilevel"/>
    <w:tmpl w:val="F4C49C8A"/>
    <w:lvl w:ilvl="0" w:tplc="A46E7C1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F60F8C"/>
    <w:multiLevelType w:val="hybridMultilevel"/>
    <w:tmpl w:val="1B6662B0"/>
    <w:lvl w:ilvl="0" w:tplc="2A603264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7DE"/>
    <w:rsid w:val="00091853"/>
    <w:rsid w:val="000A47DE"/>
    <w:rsid w:val="002D133F"/>
    <w:rsid w:val="0033128D"/>
    <w:rsid w:val="00453AC3"/>
    <w:rsid w:val="0056695A"/>
    <w:rsid w:val="005B0B18"/>
    <w:rsid w:val="00626C4F"/>
    <w:rsid w:val="007A6D1C"/>
    <w:rsid w:val="00BD5155"/>
    <w:rsid w:val="00CE0AAD"/>
    <w:rsid w:val="00D6377D"/>
    <w:rsid w:val="00DF65C8"/>
    <w:rsid w:val="00F233B5"/>
    <w:rsid w:val="00F324A5"/>
    <w:rsid w:val="00F55E13"/>
    <w:rsid w:val="00FC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0EC4A7"/>
  <w15:chartTrackingRefBased/>
  <w15:docId w15:val="{066DBBEC-C5B3-4ACF-9918-E06A9B4BA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5E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5E13"/>
  </w:style>
  <w:style w:type="paragraph" w:styleId="Pieddepage">
    <w:name w:val="footer"/>
    <w:basedOn w:val="Normal"/>
    <w:link w:val="PieddepageCar"/>
    <w:uiPriority w:val="99"/>
    <w:unhideWhenUsed/>
    <w:rsid w:val="00F55E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5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494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Abderrafi Issami</dc:creator>
  <cp:keywords/>
  <dc:description/>
  <cp:lastModifiedBy>Abderrafi Issami</cp:lastModifiedBy>
  <cp:revision>7</cp:revision>
  <dcterms:created xsi:type="dcterms:W3CDTF">2020-11-24T12:27:00Z</dcterms:created>
  <dcterms:modified xsi:type="dcterms:W3CDTF">2020-11-27T15:10:00Z</dcterms:modified>
</cp:coreProperties>
</file>